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1738D" w14:textId="74222E15" w:rsidR="00476687" w:rsidRPr="00476687" w:rsidRDefault="00476687" w:rsidP="00476687">
      <w:pPr>
        <w:spacing w:after="160" w:line="259" w:lineRule="auto"/>
        <w:jc w:val="center"/>
        <w:rPr>
          <w:rFonts w:cs="Times New Roman"/>
          <w:b/>
          <w:bCs/>
          <w:sz w:val="28"/>
          <w:szCs w:val="28"/>
          <w:lang w:eastAsia="en-US"/>
        </w:rPr>
      </w:pPr>
      <w:r w:rsidRPr="00476687">
        <w:rPr>
          <w:rFonts w:cs="Times New Roman"/>
          <w:b/>
          <w:bCs/>
          <w:sz w:val="28"/>
          <w:szCs w:val="28"/>
          <w:lang w:eastAsia="en-US"/>
        </w:rPr>
        <w:t>Nemocniční paliativní péče</w:t>
      </w:r>
    </w:p>
    <w:p w14:paraId="5E4EE426" w14:textId="1F1DB8EE" w:rsidR="00476687" w:rsidRPr="00476687" w:rsidRDefault="00476687" w:rsidP="00476687">
      <w:pPr>
        <w:spacing w:after="160" w:line="259" w:lineRule="auto"/>
        <w:jc w:val="center"/>
        <w:rPr>
          <w:rFonts w:cs="Times New Roman"/>
          <w:b/>
          <w:bCs/>
          <w:sz w:val="28"/>
          <w:szCs w:val="28"/>
          <w:lang w:eastAsia="en-US"/>
        </w:rPr>
      </w:pPr>
      <w:r w:rsidRPr="00476687">
        <w:rPr>
          <w:rFonts w:cs="Times New Roman"/>
          <w:b/>
          <w:bCs/>
          <w:sz w:val="28"/>
          <w:szCs w:val="28"/>
          <w:lang w:eastAsia="en-US"/>
        </w:rPr>
        <w:t>Podpora paliativní péče – zvýšení dostupnosti zdravotních služeb v oblasti paliativní péče v nemocnicích akutní a následné péče</w:t>
      </w:r>
    </w:p>
    <w:p w14:paraId="0924EA90" w14:textId="77777777" w:rsidR="00476687" w:rsidRDefault="00476687" w:rsidP="003E7354">
      <w:pPr>
        <w:spacing w:after="160" w:line="259" w:lineRule="auto"/>
        <w:rPr>
          <w:rFonts w:cs="Times New Roman"/>
          <w:sz w:val="22"/>
          <w:szCs w:val="22"/>
          <w:lang w:eastAsia="en-US"/>
        </w:rPr>
      </w:pPr>
    </w:p>
    <w:p w14:paraId="5C62489B" w14:textId="5C4B8AF8" w:rsidR="00321806" w:rsidRPr="001A49A2" w:rsidRDefault="00321806" w:rsidP="00321806">
      <w:pPr>
        <w:spacing w:after="160" w:line="259" w:lineRule="auto"/>
        <w:rPr>
          <w:rFonts w:cs="Times New Roman"/>
          <w:b/>
          <w:bCs/>
          <w:lang w:eastAsia="en-US"/>
        </w:rPr>
      </w:pPr>
      <w:r w:rsidRPr="001A49A2">
        <w:rPr>
          <w:rFonts w:cs="Times New Roman"/>
          <w:b/>
          <w:bCs/>
          <w:lang w:eastAsia="en-US"/>
        </w:rPr>
        <w:t>Cíl</w:t>
      </w:r>
      <w:r w:rsidR="00947FE9">
        <w:rPr>
          <w:rFonts w:cs="Times New Roman"/>
          <w:b/>
          <w:bCs/>
          <w:lang w:eastAsia="en-US"/>
        </w:rPr>
        <w:t>e</w:t>
      </w:r>
      <w:r w:rsidRPr="001A49A2">
        <w:rPr>
          <w:rFonts w:cs="Times New Roman"/>
          <w:b/>
          <w:bCs/>
          <w:lang w:eastAsia="en-US"/>
        </w:rPr>
        <w:t xml:space="preserve"> projektu</w:t>
      </w:r>
    </w:p>
    <w:p w14:paraId="6122875D" w14:textId="4372A7FE" w:rsidR="00640693" w:rsidRPr="00640693" w:rsidRDefault="00321806" w:rsidP="00640693">
      <w:pPr>
        <w:spacing w:after="160" w:line="259" w:lineRule="auto"/>
        <w:rPr>
          <w:rFonts w:cs="Times New Roman"/>
          <w:sz w:val="22"/>
          <w:szCs w:val="22"/>
          <w:lang w:eastAsia="en-US"/>
        </w:rPr>
      </w:pPr>
      <w:r w:rsidRPr="001A49A2">
        <w:rPr>
          <w:rFonts w:cs="Times New Roman"/>
          <w:sz w:val="22"/>
          <w:szCs w:val="22"/>
          <w:lang w:eastAsia="en-US"/>
        </w:rPr>
        <w:t xml:space="preserve">Cílem projektu je vytvořit prostředí pro </w:t>
      </w:r>
      <w:r w:rsidRPr="00866C03">
        <w:rPr>
          <w:rFonts w:cs="Times New Roman"/>
          <w:i/>
          <w:iCs/>
          <w:sz w:val="22"/>
          <w:szCs w:val="22"/>
          <w:lang w:eastAsia="en-US"/>
        </w:rPr>
        <w:t>zvýšení dostupnosti paliativní péče v nemocnicích</w:t>
      </w:r>
      <w:r w:rsidRPr="001A49A2">
        <w:rPr>
          <w:rFonts w:cs="Times New Roman"/>
          <w:sz w:val="22"/>
          <w:szCs w:val="22"/>
          <w:lang w:eastAsia="en-US"/>
        </w:rPr>
        <w:t xml:space="preserve"> akutní, následné a dlouhodobé péče prostřednictvím vytvoření nového </w:t>
      </w:r>
      <w:r w:rsidRPr="00866C03">
        <w:rPr>
          <w:rFonts w:cs="Times New Roman"/>
          <w:i/>
          <w:iCs/>
          <w:sz w:val="22"/>
          <w:szCs w:val="22"/>
          <w:lang w:eastAsia="en-US"/>
        </w:rPr>
        <w:t>samostatného programu</w:t>
      </w:r>
      <w:r w:rsidRPr="001A49A2">
        <w:rPr>
          <w:rFonts w:cs="Times New Roman"/>
          <w:sz w:val="22"/>
          <w:szCs w:val="22"/>
          <w:lang w:eastAsia="en-US"/>
        </w:rPr>
        <w:t xml:space="preserve"> </w:t>
      </w:r>
      <w:r w:rsidRPr="00866C03">
        <w:rPr>
          <w:rFonts w:cs="Times New Roman"/>
          <w:i/>
          <w:iCs/>
          <w:sz w:val="22"/>
          <w:szCs w:val="22"/>
          <w:lang w:eastAsia="en-US"/>
        </w:rPr>
        <w:t>paliativní péče</w:t>
      </w:r>
      <w:r w:rsidRPr="001A49A2">
        <w:rPr>
          <w:rFonts w:cs="Times New Roman"/>
          <w:sz w:val="22"/>
          <w:szCs w:val="22"/>
          <w:lang w:eastAsia="en-US"/>
        </w:rPr>
        <w:t xml:space="preserve">, nastavení a </w:t>
      </w:r>
      <w:r w:rsidRPr="00866C03">
        <w:rPr>
          <w:rFonts w:cs="Times New Roman"/>
          <w:i/>
          <w:iCs/>
          <w:sz w:val="22"/>
          <w:szCs w:val="22"/>
          <w:lang w:eastAsia="en-US"/>
        </w:rPr>
        <w:t>ověření metodik a Standardů</w:t>
      </w:r>
      <w:r w:rsidR="00640693">
        <w:rPr>
          <w:rFonts w:cs="Times New Roman"/>
          <w:i/>
          <w:iCs/>
          <w:sz w:val="22"/>
          <w:szCs w:val="22"/>
          <w:lang w:eastAsia="en-US"/>
        </w:rPr>
        <w:t>.</w:t>
      </w:r>
      <w:r w:rsidRPr="001A49A2">
        <w:rPr>
          <w:rFonts w:cs="Times New Roman"/>
          <w:sz w:val="22"/>
          <w:szCs w:val="22"/>
          <w:lang w:eastAsia="en-US"/>
        </w:rPr>
        <w:t xml:space="preserve"> </w:t>
      </w:r>
      <w:r w:rsidR="00640693">
        <w:rPr>
          <w:rFonts w:cs="Times New Roman"/>
          <w:sz w:val="22"/>
          <w:szCs w:val="22"/>
          <w:lang w:eastAsia="en-US"/>
        </w:rPr>
        <w:t xml:space="preserve">Projekt </w:t>
      </w:r>
      <w:r w:rsidR="00640693" w:rsidRPr="00640693">
        <w:rPr>
          <w:rFonts w:cs="Times New Roman"/>
          <w:sz w:val="22"/>
          <w:szCs w:val="22"/>
          <w:lang w:eastAsia="en-US"/>
        </w:rPr>
        <w:t xml:space="preserve">ověřuje model fungování </w:t>
      </w:r>
      <w:r w:rsidR="00640693" w:rsidRPr="00640693">
        <w:rPr>
          <w:rFonts w:cs="Times New Roman"/>
          <w:i/>
          <w:iCs/>
          <w:sz w:val="22"/>
          <w:szCs w:val="22"/>
          <w:lang w:eastAsia="en-US"/>
        </w:rPr>
        <w:t>konziliárních paliativních týmů</w:t>
      </w:r>
      <w:r w:rsidR="00640693" w:rsidRPr="00640693">
        <w:rPr>
          <w:rFonts w:cs="Times New Roman"/>
          <w:sz w:val="22"/>
          <w:szCs w:val="22"/>
          <w:lang w:eastAsia="en-US"/>
        </w:rPr>
        <w:t xml:space="preserve"> v nemocnicích, které pomáhají primárnímu ošetřujícímu týmu řešit obtížně ovlivnitelné obtíže pacientů </w:t>
      </w:r>
      <w:r w:rsidR="00640693">
        <w:rPr>
          <w:rFonts w:cs="Times New Roman"/>
          <w:sz w:val="22"/>
          <w:szCs w:val="22"/>
          <w:lang w:eastAsia="en-US"/>
        </w:rPr>
        <w:t xml:space="preserve">a </w:t>
      </w:r>
      <w:r w:rsidR="00640693" w:rsidRPr="00640693">
        <w:rPr>
          <w:rFonts w:cs="Times New Roman"/>
          <w:sz w:val="22"/>
          <w:szCs w:val="22"/>
          <w:lang w:eastAsia="en-US"/>
        </w:rPr>
        <w:t>prosazuje kvalitní paliativní péči jako standardní a obecně dostupnou službu pro všechny pacienty, kteří ji v nemocnicích potřebují</w:t>
      </w:r>
      <w:r w:rsidR="00640693">
        <w:rPr>
          <w:rFonts w:cs="Times New Roman"/>
          <w:sz w:val="22"/>
          <w:szCs w:val="22"/>
          <w:lang w:eastAsia="en-US"/>
        </w:rPr>
        <w:t>.</w:t>
      </w:r>
    </w:p>
    <w:p w14:paraId="69FEE6D6" w14:textId="5D3E56F7" w:rsidR="00321806" w:rsidRPr="00625D8B" w:rsidRDefault="00321806" w:rsidP="003E7354">
      <w:pPr>
        <w:spacing w:after="160" w:line="259" w:lineRule="auto"/>
        <w:rPr>
          <w:rFonts w:cs="Times New Roman"/>
          <w:b/>
          <w:bCs/>
          <w:lang w:eastAsia="en-US"/>
        </w:rPr>
      </w:pPr>
      <w:r w:rsidRPr="00625D8B">
        <w:rPr>
          <w:rFonts w:cs="Times New Roman"/>
          <w:b/>
          <w:bCs/>
          <w:lang w:eastAsia="en-US"/>
        </w:rPr>
        <w:t>Konziliární paliativní tým</w:t>
      </w:r>
      <w:r w:rsidR="0068591D">
        <w:rPr>
          <w:rFonts w:cs="Times New Roman"/>
          <w:b/>
          <w:bCs/>
          <w:lang w:eastAsia="en-US"/>
        </w:rPr>
        <w:t>y</w:t>
      </w:r>
    </w:p>
    <w:p w14:paraId="1B2BB00B" w14:textId="2BEAA7B7" w:rsidR="00C60E40" w:rsidRPr="003E7354" w:rsidRDefault="00C60E40" w:rsidP="00C60E40">
      <w:pPr>
        <w:spacing w:after="160" w:line="259" w:lineRule="auto"/>
        <w:rPr>
          <w:rFonts w:cs="Times New Roman"/>
          <w:sz w:val="22"/>
          <w:szCs w:val="22"/>
          <w:lang w:eastAsia="en-US"/>
        </w:rPr>
      </w:pPr>
      <w:r w:rsidRPr="003E7354">
        <w:rPr>
          <w:rFonts w:cs="Times New Roman"/>
          <w:sz w:val="22"/>
          <w:szCs w:val="22"/>
          <w:lang w:eastAsia="en-US"/>
        </w:rPr>
        <w:t>Paliativní konziliární tým zaji</w:t>
      </w:r>
      <w:r w:rsidR="00C41ADA">
        <w:rPr>
          <w:rFonts w:cs="Times New Roman"/>
          <w:sz w:val="22"/>
          <w:szCs w:val="22"/>
          <w:lang w:eastAsia="en-US"/>
        </w:rPr>
        <w:t>šťuje</w:t>
      </w:r>
      <w:r w:rsidRPr="003E7354">
        <w:rPr>
          <w:rFonts w:cs="Times New Roman"/>
          <w:sz w:val="22"/>
          <w:szCs w:val="22"/>
          <w:lang w:eastAsia="en-US"/>
        </w:rPr>
        <w:t xml:space="preserve"> konzultace a intervence paliativních specialistů pro všechna oddělení nemocnice. </w:t>
      </w:r>
      <w:r w:rsidR="009A4E51" w:rsidRPr="009A4E51">
        <w:rPr>
          <w:rFonts w:cs="Times New Roman"/>
          <w:sz w:val="22"/>
          <w:szCs w:val="22"/>
          <w:lang w:eastAsia="en-US"/>
        </w:rPr>
        <w:t>Základní činností paliativního týmu je vedení komunikace obtížných témat s pacienty a jejich rodinami, zjištění jejich potřeb, podpora při formulaci preferencí a také zajištění respektu k těmto preferencím.</w:t>
      </w:r>
      <w:r w:rsidR="009A4E51">
        <w:rPr>
          <w:rFonts w:cs="Times New Roman"/>
          <w:sz w:val="22"/>
          <w:szCs w:val="22"/>
          <w:lang w:eastAsia="en-US"/>
        </w:rPr>
        <w:t xml:space="preserve"> </w:t>
      </w:r>
      <w:r w:rsidRPr="003E7354">
        <w:rPr>
          <w:rFonts w:cs="Times New Roman"/>
          <w:sz w:val="22"/>
          <w:szCs w:val="22"/>
          <w:lang w:eastAsia="en-US"/>
        </w:rPr>
        <w:t>Nedílnou součástí paliativní péče je tišení bolesti a dalších fyzických symptomů, stejně jako řešení problémů psychické, sociální a spirituální povahy, je poskytována pacientům se závažným, zejména život limitujícím onemocněním, dospělým i dětským, zároveň s kauzální léčbou. Dostupná literatura ukazuje, že tento model tzv. časné paliativní péče, vhodný zejména pro nemocniční prostředí, má významný pozitivní efekt na kvalitu života pacientů, kontrolu symptomů a prožívání jejich blízkých. U některých diagnostických skupin má také vliv na delší dožití pacientů a zároveň tato péče nezvyšuje náklady systému.</w:t>
      </w:r>
    </w:p>
    <w:p w14:paraId="486CBFEA" w14:textId="112A2EF7" w:rsidR="003E7354" w:rsidRPr="003E7354" w:rsidRDefault="007A7889" w:rsidP="003E7354">
      <w:pPr>
        <w:spacing w:after="160" w:line="259" w:lineRule="auto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>P</w:t>
      </w:r>
      <w:r w:rsidR="00321806">
        <w:rPr>
          <w:rFonts w:cs="Times New Roman"/>
          <w:sz w:val="22"/>
          <w:szCs w:val="22"/>
          <w:lang w:eastAsia="en-US"/>
        </w:rPr>
        <w:t>aliativní tým</w:t>
      </w:r>
      <w:r>
        <w:rPr>
          <w:rFonts w:cs="Times New Roman"/>
          <w:sz w:val="22"/>
          <w:szCs w:val="22"/>
          <w:lang w:eastAsia="en-US"/>
        </w:rPr>
        <w:t>y</w:t>
      </w:r>
      <w:r w:rsidR="003E7354" w:rsidRPr="003E7354">
        <w:rPr>
          <w:rFonts w:cs="Times New Roman"/>
          <w:sz w:val="22"/>
          <w:szCs w:val="22"/>
          <w:lang w:eastAsia="en-US"/>
        </w:rPr>
        <w:t xml:space="preserve"> zaháj</w:t>
      </w:r>
      <w:r>
        <w:rPr>
          <w:rFonts w:cs="Times New Roman"/>
          <w:sz w:val="22"/>
          <w:szCs w:val="22"/>
          <w:lang w:eastAsia="en-US"/>
        </w:rPr>
        <w:t>ily činnost v rámci projektu</w:t>
      </w:r>
      <w:r w:rsidR="003E7354" w:rsidRPr="003E7354">
        <w:rPr>
          <w:rFonts w:cs="Times New Roman"/>
          <w:sz w:val="22"/>
          <w:szCs w:val="22"/>
          <w:lang w:eastAsia="en-US"/>
        </w:rPr>
        <w:t xml:space="preserve"> </w:t>
      </w:r>
      <w:r w:rsidR="00321806">
        <w:rPr>
          <w:rFonts w:cs="Times New Roman"/>
          <w:sz w:val="22"/>
          <w:szCs w:val="22"/>
          <w:lang w:eastAsia="en-US"/>
        </w:rPr>
        <w:t xml:space="preserve">v červnu 2019 </w:t>
      </w:r>
      <w:r w:rsidR="003E7354" w:rsidRPr="003E7354">
        <w:rPr>
          <w:rFonts w:cs="Times New Roman"/>
          <w:sz w:val="22"/>
          <w:szCs w:val="22"/>
          <w:lang w:eastAsia="en-US"/>
        </w:rPr>
        <w:t>na sedmi pracovištích</w:t>
      </w:r>
      <w:r w:rsidR="00321806">
        <w:rPr>
          <w:rFonts w:cs="Times New Roman"/>
          <w:sz w:val="22"/>
          <w:szCs w:val="22"/>
          <w:lang w:eastAsia="en-US"/>
        </w:rPr>
        <w:t xml:space="preserve">: </w:t>
      </w:r>
      <w:r w:rsidR="003E7354" w:rsidRPr="003E7354">
        <w:rPr>
          <w:rFonts w:cs="Times New Roman"/>
          <w:sz w:val="22"/>
          <w:szCs w:val="22"/>
          <w:lang w:eastAsia="en-US"/>
        </w:rPr>
        <w:t>ve Všeobecné fakultní nemocnici v Praze, Fakultní nemocnici Královské Vinohrady, Fakultní nemocnici Olomouc, Krajské zdravotní a. s. Ústí nad Labem, Nemocnici Jihlava a Fakultní nemocnici v Motole, a to jak na paliativní péči pro dospělé, tak pro děti.</w:t>
      </w:r>
    </w:p>
    <w:p w14:paraId="6A0DB311" w14:textId="77777777" w:rsidR="009A4E51" w:rsidRDefault="003E7354" w:rsidP="003E7354">
      <w:pPr>
        <w:spacing w:after="160" w:line="259" w:lineRule="auto"/>
        <w:rPr>
          <w:rFonts w:cs="Times New Roman"/>
          <w:sz w:val="22"/>
          <w:szCs w:val="22"/>
          <w:lang w:eastAsia="en-US"/>
        </w:rPr>
      </w:pPr>
      <w:r w:rsidRPr="003E7354">
        <w:rPr>
          <w:rFonts w:cs="Times New Roman"/>
          <w:sz w:val="22"/>
          <w:szCs w:val="22"/>
          <w:lang w:eastAsia="en-US"/>
        </w:rPr>
        <w:t xml:space="preserve">Pilotní provoz paliativních týmů zároveň slouží ke zmapování </w:t>
      </w:r>
      <w:r w:rsidR="009A4E51" w:rsidRPr="009A4E51">
        <w:rPr>
          <w:rFonts w:cs="Times New Roman"/>
          <w:sz w:val="22"/>
          <w:szCs w:val="22"/>
          <w:lang w:eastAsia="en-US"/>
        </w:rPr>
        <w:t>činnosti týmů, ke zhodnocení odborné a obsahové náročnosti a také efektu na život pacientů i jejich blízkých prostřednictvím řady sledovaných parametrů. Současně pilotní projekt slouží k nastavení úhradových mechanismů pro financování takové služby.</w:t>
      </w:r>
    </w:p>
    <w:p w14:paraId="74ABA608" w14:textId="0FD54671" w:rsidR="0068591D" w:rsidRPr="0068591D" w:rsidRDefault="0068591D" w:rsidP="003E7354">
      <w:pPr>
        <w:spacing w:after="160" w:line="259" w:lineRule="auto"/>
        <w:rPr>
          <w:rFonts w:cs="Times New Roman"/>
          <w:b/>
          <w:bCs/>
          <w:lang w:eastAsia="en-US"/>
        </w:rPr>
      </w:pPr>
      <w:r>
        <w:rPr>
          <w:rFonts w:cs="Times New Roman"/>
          <w:b/>
          <w:bCs/>
          <w:lang w:eastAsia="en-US"/>
        </w:rPr>
        <w:t xml:space="preserve">Vytvoření pracovních postupů </w:t>
      </w:r>
      <w:r w:rsidRPr="0068591D">
        <w:rPr>
          <w:rFonts w:cs="Times New Roman"/>
          <w:b/>
          <w:bCs/>
          <w:lang w:eastAsia="en-US"/>
        </w:rPr>
        <w:t>a vzdělávací program</w:t>
      </w:r>
      <w:r>
        <w:rPr>
          <w:rFonts w:cs="Times New Roman"/>
          <w:b/>
          <w:bCs/>
          <w:lang w:eastAsia="en-US"/>
        </w:rPr>
        <w:t>ů</w:t>
      </w:r>
    </w:p>
    <w:p w14:paraId="32D03EEB" w14:textId="09CF8A4F" w:rsidR="00EF4F28" w:rsidRPr="00EF4F28" w:rsidRDefault="0068591D" w:rsidP="00EF4F28">
      <w:pPr>
        <w:spacing w:after="160" w:line="259" w:lineRule="auto"/>
        <w:rPr>
          <w:rFonts w:cs="Times New Roman"/>
          <w:sz w:val="22"/>
          <w:szCs w:val="22"/>
          <w:lang w:eastAsia="en-US"/>
        </w:rPr>
      </w:pPr>
      <w:r w:rsidRPr="00EF4F28">
        <w:rPr>
          <w:rFonts w:cs="Times New Roman"/>
          <w:i/>
          <w:iCs/>
          <w:sz w:val="22"/>
          <w:szCs w:val="22"/>
          <w:lang w:eastAsia="en-US"/>
        </w:rPr>
        <w:t>Metodika zavádění paliativní péče v nemocnicích akutní a následné péče</w:t>
      </w:r>
      <w:r w:rsidRPr="00EF4F28">
        <w:rPr>
          <w:rFonts w:cs="Times New Roman"/>
          <w:sz w:val="22"/>
          <w:szCs w:val="22"/>
          <w:lang w:eastAsia="en-US"/>
        </w:rPr>
        <w:t xml:space="preserve"> bude vytvořena do konce roku 2021 jako metodický základ k implementaci programu paliativní péče v</w:t>
      </w:r>
      <w:r w:rsidR="00EF4F28" w:rsidRPr="00EF4F28">
        <w:rPr>
          <w:rFonts w:cs="Times New Roman"/>
          <w:sz w:val="22"/>
          <w:szCs w:val="22"/>
          <w:lang w:eastAsia="en-US"/>
        </w:rPr>
        <w:t> </w:t>
      </w:r>
      <w:r w:rsidRPr="00EF4F28">
        <w:rPr>
          <w:rFonts w:cs="Times New Roman"/>
          <w:sz w:val="22"/>
          <w:szCs w:val="22"/>
          <w:lang w:eastAsia="en-US"/>
        </w:rPr>
        <w:t>nemocnicích</w:t>
      </w:r>
      <w:r w:rsidR="00EF4F28" w:rsidRPr="00EF4F28">
        <w:rPr>
          <w:rFonts w:cs="Times New Roman"/>
          <w:sz w:val="22"/>
          <w:szCs w:val="22"/>
          <w:lang w:eastAsia="en-US"/>
        </w:rPr>
        <w:t xml:space="preserve">. Projekt přispěje ke standardizaci nemocniční paliativní péče </w:t>
      </w:r>
      <w:r w:rsidR="00EF4F28">
        <w:rPr>
          <w:rFonts w:cs="Times New Roman"/>
          <w:sz w:val="22"/>
          <w:szCs w:val="22"/>
          <w:lang w:eastAsia="en-US"/>
        </w:rPr>
        <w:t xml:space="preserve">stanovením indikátorů její kvality a formulováním </w:t>
      </w:r>
      <w:r w:rsidR="00EF4F28" w:rsidRPr="00EF4F28">
        <w:rPr>
          <w:rFonts w:cs="Times New Roman"/>
          <w:i/>
          <w:iCs/>
          <w:sz w:val="22"/>
          <w:szCs w:val="22"/>
          <w:lang w:eastAsia="en-US"/>
        </w:rPr>
        <w:t>Standardů poskytování nemocniční paliativní péče</w:t>
      </w:r>
      <w:r w:rsidR="00EF4F28">
        <w:rPr>
          <w:rFonts w:cs="Times New Roman"/>
          <w:sz w:val="22"/>
          <w:szCs w:val="22"/>
          <w:lang w:eastAsia="en-US"/>
        </w:rPr>
        <w:t xml:space="preserve">. Nový </w:t>
      </w:r>
      <w:r w:rsidR="00EF4F28" w:rsidRPr="00EF4F28">
        <w:rPr>
          <w:rFonts w:cs="Times New Roman"/>
          <w:i/>
          <w:iCs/>
          <w:sz w:val="22"/>
          <w:szCs w:val="22"/>
          <w:lang w:eastAsia="en-US"/>
        </w:rPr>
        <w:t>Edukační program</w:t>
      </w:r>
      <w:r w:rsidR="00EF4F28" w:rsidRPr="00EF4F28">
        <w:rPr>
          <w:rFonts w:cs="Times New Roman"/>
          <w:sz w:val="22"/>
          <w:szCs w:val="22"/>
          <w:lang w:eastAsia="en-US"/>
        </w:rPr>
        <w:t xml:space="preserve"> zaměřený na paliativní péči v nemocnicích </w:t>
      </w:r>
      <w:r w:rsidR="00EF4F28">
        <w:rPr>
          <w:rFonts w:cs="Times New Roman"/>
          <w:sz w:val="22"/>
          <w:szCs w:val="22"/>
          <w:lang w:eastAsia="en-US"/>
        </w:rPr>
        <w:t xml:space="preserve">bude k dispozici </w:t>
      </w:r>
      <w:r w:rsidR="00EF4F28" w:rsidRPr="00EF4F28">
        <w:rPr>
          <w:rFonts w:cs="Times New Roman"/>
          <w:sz w:val="22"/>
          <w:szCs w:val="22"/>
          <w:lang w:eastAsia="en-US"/>
        </w:rPr>
        <w:t>pro všechny poskytovatele zdravotních služeb</w:t>
      </w:r>
      <w:r w:rsidR="00EF4F28">
        <w:rPr>
          <w:rFonts w:cs="Times New Roman"/>
          <w:sz w:val="22"/>
          <w:szCs w:val="22"/>
          <w:lang w:eastAsia="en-US"/>
        </w:rPr>
        <w:t>.</w:t>
      </w:r>
    </w:p>
    <w:p w14:paraId="3004977E" w14:textId="006C582F" w:rsidR="003E7354" w:rsidRDefault="003E7354" w:rsidP="003E7354">
      <w:pPr>
        <w:spacing w:after="160" w:line="259" w:lineRule="auto"/>
        <w:rPr>
          <w:rFonts w:cs="Times New Roman"/>
          <w:sz w:val="22"/>
          <w:szCs w:val="22"/>
          <w:lang w:eastAsia="en-US"/>
        </w:rPr>
      </w:pPr>
    </w:p>
    <w:p w14:paraId="534F5473" w14:textId="77777777" w:rsidR="00E74068" w:rsidRDefault="00E74068" w:rsidP="00340DB8">
      <w:pPr>
        <w:spacing w:after="160" w:line="259" w:lineRule="auto"/>
        <w:rPr>
          <w:rFonts w:cs="Times New Roman"/>
          <w:b/>
          <w:bCs/>
          <w:lang w:eastAsia="en-US"/>
        </w:rPr>
      </w:pPr>
    </w:p>
    <w:p w14:paraId="1E59D08D" w14:textId="7FF41ED2" w:rsidR="00340DB8" w:rsidRPr="00A7680E" w:rsidRDefault="00625D8B" w:rsidP="00340DB8">
      <w:pPr>
        <w:spacing w:after="160" w:line="259" w:lineRule="auto"/>
        <w:rPr>
          <w:rFonts w:cs="Times New Roman"/>
          <w:b/>
          <w:bCs/>
          <w:lang w:eastAsia="en-US"/>
        </w:rPr>
      </w:pPr>
      <w:r w:rsidRPr="00A7680E">
        <w:rPr>
          <w:rFonts w:cs="Times New Roman"/>
          <w:b/>
          <w:bCs/>
          <w:lang w:eastAsia="en-US"/>
        </w:rPr>
        <w:lastRenderedPageBreak/>
        <w:t>Rozvoj nemocniční paliativní péče přináší s</w:t>
      </w:r>
      <w:r w:rsidR="004F5C98" w:rsidRPr="00A7680E">
        <w:rPr>
          <w:rFonts w:cs="Times New Roman"/>
          <w:b/>
          <w:bCs/>
          <w:lang w:eastAsia="en-US"/>
        </w:rPr>
        <w:t>ystémov</w:t>
      </w:r>
      <w:r w:rsidRPr="00A7680E">
        <w:rPr>
          <w:rFonts w:cs="Times New Roman"/>
          <w:b/>
          <w:bCs/>
          <w:lang w:eastAsia="en-US"/>
        </w:rPr>
        <w:t xml:space="preserve">ou změnu </w:t>
      </w:r>
    </w:p>
    <w:p w14:paraId="0C324982" w14:textId="6D7BAA01" w:rsidR="00321806" w:rsidRDefault="00E915F0" w:rsidP="00340DB8">
      <w:pPr>
        <w:spacing w:after="160" w:line="259" w:lineRule="auto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i/>
          <w:iCs/>
          <w:sz w:val="22"/>
          <w:szCs w:val="22"/>
          <w:lang w:eastAsia="en-US"/>
        </w:rPr>
        <w:t>„</w:t>
      </w:r>
      <w:r w:rsidRPr="00E915F0">
        <w:rPr>
          <w:rFonts w:cs="Times New Roman"/>
          <w:i/>
          <w:iCs/>
          <w:sz w:val="22"/>
          <w:szCs w:val="22"/>
          <w:lang w:eastAsia="en-US"/>
        </w:rPr>
        <w:t xml:space="preserve">Cílem projektu je </w:t>
      </w:r>
      <w:r w:rsidR="00340DB8" w:rsidRPr="00E915F0">
        <w:rPr>
          <w:rFonts w:cs="Times New Roman"/>
          <w:i/>
          <w:iCs/>
          <w:sz w:val="22"/>
          <w:szCs w:val="22"/>
          <w:lang w:eastAsia="en-US"/>
        </w:rPr>
        <w:t xml:space="preserve">podpořit a standardizovat specializovanou paliativní péči v nemocnicích. V USA má 80 % nemocnic vlastní paliativní program, u nás je to méně než 5 %, většina lidí tak umírá v nemocnicích bez přístupu k paliativní péči. </w:t>
      </w:r>
      <w:r w:rsidR="00625D8B">
        <w:rPr>
          <w:rFonts w:cs="Times New Roman"/>
          <w:i/>
          <w:iCs/>
          <w:sz w:val="22"/>
          <w:szCs w:val="22"/>
          <w:lang w:eastAsia="en-US"/>
        </w:rPr>
        <w:t>..</w:t>
      </w:r>
      <w:r w:rsidR="00340DB8" w:rsidRPr="00E915F0">
        <w:rPr>
          <w:rFonts w:cs="Times New Roman"/>
          <w:i/>
          <w:iCs/>
          <w:sz w:val="22"/>
          <w:szCs w:val="22"/>
          <w:lang w:eastAsia="en-US"/>
        </w:rPr>
        <w:t>. Kvalita dožití našich pacientů musí být pokud možno co nejvyšší</w:t>
      </w:r>
      <w:r w:rsidR="00340DB8" w:rsidRPr="00340DB8">
        <w:rPr>
          <w:rFonts w:cs="Times New Roman"/>
          <w:sz w:val="22"/>
          <w:szCs w:val="22"/>
          <w:lang w:eastAsia="en-US"/>
        </w:rPr>
        <w:t>,“ uvedl ministr zdravotnictví Adam Vojtěch</w:t>
      </w:r>
      <w:r>
        <w:rPr>
          <w:rFonts w:cs="Times New Roman"/>
          <w:sz w:val="22"/>
          <w:szCs w:val="22"/>
          <w:lang w:eastAsia="en-US"/>
        </w:rPr>
        <w:t xml:space="preserve"> na počátku projektu.</w:t>
      </w:r>
      <w:r w:rsidR="00340DB8" w:rsidRPr="00340DB8">
        <w:rPr>
          <w:rFonts w:cs="Times New Roman"/>
          <w:sz w:val="22"/>
          <w:szCs w:val="22"/>
          <w:lang w:eastAsia="en-US"/>
        </w:rPr>
        <w:t xml:space="preserve"> </w:t>
      </w:r>
    </w:p>
    <w:p w14:paraId="3C35EB43" w14:textId="05F2E744" w:rsidR="00925F4E" w:rsidRDefault="00925F4E" w:rsidP="00925F4E">
      <w:pPr>
        <w:spacing w:after="160" w:line="259" w:lineRule="auto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  <w:lang w:eastAsia="en-US"/>
        </w:rPr>
        <w:t>K</w:t>
      </w:r>
      <w:r w:rsidRPr="00925F4E">
        <w:rPr>
          <w:rFonts w:cs="Times New Roman"/>
          <w:sz w:val="22"/>
          <w:szCs w:val="22"/>
          <w:lang w:eastAsia="en-US"/>
        </w:rPr>
        <w:t xml:space="preserve">oncept konziliárních paliativních týmů a model </w:t>
      </w:r>
      <w:r>
        <w:rPr>
          <w:rFonts w:cs="Times New Roman"/>
          <w:sz w:val="22"/>
          <w:szCs w:val="22"/>
          <w:lang w:eastAsia="en-US"/>
        </w:rPr>
        <w:t xml:space="preserve">nemocniční paliativní péče reaguje na </w:t>
      </w:r>
      <w:r w:rsidRPr="000C21EF">
        <w:rPr>
          <w:rFonts w:cs="Times New Roman"/>
          <w:i/>
          <w:iCs/>
          <w:sz w:val="22"/>
          <w:szCs w:val="22"/>
          <w:lang w:eastAsia="en-US"/>
        </w:rPr>
        <w:t>deficit kvalitní paliativní péče v nemocnicích</w:t>
      </w:r>
      <w:r>
        <w:rPr>
          <w:rFonts w:cs="Times New Roman"/>
          <w:sz w:val="22"/>
          <w:szCs w:val="22"/>
          <w:lang w:eastAsia="en-US"/>
        </w:rPr>
        <w:t xml:space="preserve"> a </w:t>
      </w:r>
      <w:r w:rsidRPr="00925F4E">
        <w:rPr>
          <w:rFonts w:cs="Times New Roman"/>
          <w:sz w:val="22"/>
          <w:szCs w:val="22"/>
          <w:lang w:eastAsia="en-US"/>
        </w:rPr>
        <w:t>prosazuje paliativní péči jako standardní a obecně dostupnou službu pro všechny pacienty, kteří ji v nemocnicích potřebují</w:t>
      </w:r>
      <w:r>
        <w:rPr>
          <w:rFonts w:cs="Times New Roman"/>
          <w:sz w:val="22"/>
          <w:szCs w:val="22"/>
          <w:lang w:eastAsia="en-US"/>
        </w:rPr>
        <w:t xml:space="preserve">. Cílem je </w:t>
      </w:r>
      <w:r w:rsidRPr="00925F4E">
        <w:rPr>
          <w:rFonts w:cs="Times New Roman"/>
          <w:sz w:val="22"/>
          <w:szCs w:val="22"/>
          <w:lang w:eastAsia="en-US"/>
        </w:rPr>
        <w:t xml:space="preserve">implementovat konziliární paliativní týmy do </w:t>
      </w:r>
      <w:r>
        <w:rPr>
          <w:rFonts w:cs="Times New Roman"/>
          <w:sz w:val="22"/>
          <w:szCs w:val="22"/>
          <w:lang w:eastAsia="en-US"/>
        </w:rPr>
        <w:t xml:space="preserve">zdravotního </w:t>
      </w:r>
      <w:r w:rsidRPr="00925F4E">
        <w:rPr>
          <w:rFonts w:cs="Times New Roman"/>
          <w:sz w:val="22"/>
          <w:szCs w:val="22"/>
          <w:lang w:eastAsia="en-US"/>
        </w:rPr>
        <w:t xml:space="preserve">systému - jako model, který prokázal svou efektivitu (zlepšení kvality péče i života, úspora nákladů) v řadě zemí a který se postupně stává </w:t>
      </w:r>
      <w:r w:rsidRPr="000C21EF">
        <w:rPr>
          <w:rFonts w:cs="Times New Roman"/>
          <w:i/>
          <w:iCs/>
          <w:sz w:val="22"/>
          <w:szCs w:val="22"/>
          <w:lang w:eastAsia="en-US"/>
        </w:rPr>
        <w:t>novým standardem péče</w:t>
      </w:r>
      <w:r>
        <w:rPr>
          <w:rFonts w:cs="Times New Roman"/>
          <w:sz w:val="22"/>
          <w:szCs w:val="22"/>
          <w:lang w:eastAsia="en-US"/>
        </w:rPr>
        <w:t xml:space="preserve">. Tento přístup významně </w:t>
      </w:r>
      <w:r w:rsidRPr="00925F4E">
        <w:rPr>
          <w:rFonts w:cs="Times New Roman"/>
          <w:sz w:val="22"/>
          <w:szCs w:val="22"/>
          <w:lang w:eastAsia="en-US"/>
        </w:rPr>
        <w:t xml:space="preserve">zvyšuje kvalitu života </w:t>
      </w:r>
      <w:r>
        <w:rPr>
          <w:rFonts w:cs="Times New Roman"/>
          <w:sz w:val="22"/>
          <w:szCs w:val="22"/>
          <w:lang w:eastAsia="en-US"/>
        </w:rPr>
        <w:t xml:space="preserve">pacienta i jeho rodiny </w:t>
      </w:r>
      <w:r w:rsidRPr="00925F4E">
        <w:rPr>
          <w:rFonts w:cs="Times New Roman"/>
          <w:sz w:val="22"/>
          <w:szCs w:val="22"/>
          <w:lang w:eastAsia="en-US"/>
        </w:rPr>
        <w:t xml:space="preserve">- usnadňuje rozhodování, respektuje volbu pacienta, poskytuje dobrou péči, informuje o institutu dříve vysloveného přání, podporuje nemocné i pečující, reaguje na </w:t>
      </w:r>
      <w:r>
        <w:rPr>
          <w:rFonts w:cs="Times New Roman"/>
          <w:sz w:val="22"/>
          <w:szCs w:val="22"/>
          <w:lang w:eastAsia="en-US"/>
        </w:rPr>
        <w:t>jejich komplexní potřeby -</w:t>
      </w:r>
      <w:r w:rsidRPr="00925F4E">
        <w:rPr>
          <w:rFonts w:cs="Times New Roman"/>
          <w:sz w:val="22"/>
          <w:szCs w:val="22"/>
          <w:lang w:eastAsia="en-US"/>
        </w:rPr>
        <w:t xml:space="preserve"> sociální, zdrav</w:t>
      </w:r>
      <w:r>
        <w:rPr>
          <w:rFonts w:cs="Times New Roman"/>
          <w:sz w:val="22"/>
          <w:szCs w:val="22"/>
          <w:lang w:eastAsia="en-US"/>
        </w:rPr>
        <w:t>otní</w:t>
      </w:r>
      <w:r w:rsidRPr="00925F4E">
        <w:rPr>
          <w:rFonts w:cs="Times New Roman"/>
          <w:sz w:val="22"/>
          <w:szCs w:val="22"/>
          <w:lang w:eastAsia="en-US"/>
        </w:rPr>
        <w:t>, psych</w:t>
      </w:r>
      <w:r>
        <w:rPr>
          <w:rFonts w:cs="Times New Roman"/>
          <w:sz w:val="22"/>
          <w:szCs w:val="22"/>
          <w:lang w:eastAsia="en-US"/>
        </w:rPr>
        <w:t xml:space="preserve">ické i </w:t>
      </w:r>
      <w:r w:rsidRPr="00925F4E">
        <w:rPr>
          <w:rFonts w:cs="Times New Roman"/>
          <w:sz w:val="22"/>
          <w:szCs w:val="22"/>
          <w:lang w:eastAsia="en-US"/>
        </w:rPr>
        <w:t>spirit</w:t>
      </w:r>
      <w:r>
        <w:rPr>
          <w:rFonts w:cs="Times New Roman"/>
          <w:sz w:val="22"/>
          <w:szCs w:val="22"/>
          <w:lang w:eastAsia="en-US"/>
        </w:rPr>
        <w:t>uální.</w:t>
      </w:r>
      <w:r w:rsidR="000C21EF">
        <w:rPr>
          <w:rFonts w:cs="Times New Roman"/>
          <w:sz w:val="22"/>
          <w:szCs w:val="22"/>
          <w:lang w:eastAsia="en-US"/>
        </w:rPr>
        <w:t xml:space="preserve"> </w:t>
      </w:r>
      <w:r w:rsidR="00A83FFE">
        <w:rPr>
          <w:rFonts w:cs="Times New Roman"/>
          <w:sz w:val="22"/>
          <w:szCs w:val="22"/>
          <w:lang w:eastAsia="en-US"/>
        </w:rPr>
        <w:t xml:space="preserve">                    </w:t>
      </w:r>
      <w:r w:rsidR="000C21EF">
        <w:rPr>
          <w:rFonts w:cs="Times New Roman"/>
          <w:sz w:val="22"/>
          <w:szCs w:val="22"/>
          <w:lang w:eastAsia="en-US"/>
        </w:rPr>
        <w:t xml:space="preserve">Na rozdíl od lůžkové či domácí paliativní péče zatím </w:t>
      </w:r>
      <w:r w:rsidR="000C21EF" w:rsidRPr="00A83FFE">
        <w:rPr>
          <w:rFonts w:cs="Times New Roman"/>
          <w:i/>
          <w:iCs/>
          <w:sz w:val="22"/>
          <w:szCs w:val="22"/>
          <w:lang w:eastAsia="en-US"/>
        </w:rPr>
        <w:t xml:space="preserve">neexistuje </w:t>
      </w:r>
      <w:r w:rsidRPr="00A83FFE">
        <w:rPr>
          <w:rFonts w:cs="Times New Roman"/>
          <w:i/>
          <w:iCs/>
          <w:sz w:val="22"/>
          <w:szCs w:val="22"/>
          <w:lang w:eastAsia="en-US"/>
        </w:rPr>
        <w:t>model úhrady této péče</w:t>
      </w:r>
      <w:r w:rsidR="000C21EF">
        <w:rPr>
          <w:rFonts w:cs="Times New Roman"/>
          <w:sz w:val="22"/>
          <w:szCs w:val="22"/>
          <w:lang w:eastAsia="en-US"/>
        </w:rPr>
        <w:t>. V rámci pilotního projektu MZČR vstupuje do jednání s pojišťovnami a hledá způsob, jak zajistit rozvoj této nové služby a zajistit její další financování v rámci systému.</w:t>
      </w:r>
      <w:r w:rsidR="005D3920" w:rsidRPr="005D3920">
        <w:t xml:space="preserve"> </w:t>
      </w:r>
      <w:r w:rsidR="005D3920" w:rsidRPr="005D3920">
        <w:rPr>
          <w:sz w:val="22"/>
          <w:szCs w:val="22"/>
        </w:rPr>
        <w:t>Projekt zároveň zajišťuje</w:t>
      </w:r>
      <w:r w:rsidR="005D3920" w:rsidRPr="005D3920">
        <w:rPr>
          <w:rFonts w:cs="Times New Roman"/>
          <w:sz w:val="20"/>
          <w:szCs w:val="20"/>
          <w:lang w:eastAsia="en-US"/>
        </w:rPr>
        <w:t xml:space="preserve"> </w:t>
      </w:r>
      <w:r w:rsidR="005D3920" w:rsidRPr="005D3920">
        <w:rPr>
          <w:rFonts w:cs="Times New Roman"/>
          <w:sz w:val="22"/>
          <w:szCs w:val="22"/>
          <w:lang w:eastAsia="en-US"/>
        </w:rPr>
        <w:t>kvalitní sběr dat</w:t>
      </w:r>
      <w:r w:rsidR="005D3920">
        <w:rPr>
          <w:rFonts w:cs="Times New Roman"/>
          <w:sz w:val="22"/>
          <w:szCs w:val="22"/>
          <w:lang w:eastAsia="en-US"/>
        </w:rPr>
        <w:t xml:space="preserve"> ve spolupráci s </w:t>
      </w:r>
      <w:r w:rsidR="005D3920" w:rsidRPr="005D3920">
        <w:rPr>
          <w:rFonts w:cs="Times New Roman"/>
          <w:sz w:val="22"/>
          <w:szCs w:val="22"/>
          <w:lang w:eastAsia="en-US"/>
        </w:rPr>
        <w:t>MZČR, ČSPM, ÚZIS, ZP</w:t>
      </w:r>
      <w:r w:rsidR="005D3920">
        <w:rPr>
          <w:rFonts w:cs="Times New Roman"/>
          <w:sz w:val="22"/>
          <w:szCs w:val="22"/>
          <w:lang w:eastAsia="en-US"/>
        </w:rPr>
        <w:t xml:space="preserve"> tak, aby bylo možné </w:t>
      </w:r>
      <w:r w:rsidR="005D3920" w:rsidRPr="005D3920">
        <w:rPr>
          <w:rFonts w:cs="Times New Roman"/>
          <w:sz w:val="22"/>
          <w:szCs w:val="22"/>
          <w:lang w:eastAsia="en-US"/>
        </w:rPr>
        <w:t>stanovit způsob jejího financování z veřejného zdravotního pojištění</w:t>
      </w:r>
      <w:r w:rsidR="005D3920">
        <w:rPr>
          <w:rFonts w:cs="Times New Roman"/>
          <w:sz w:val="22"/>
          <w:szCs w:val="22"/>
          <w:lang w:eastAsia="en-US"/>
        </w:rPr>
        <w:t>,</w:t>
      </w:r>
      <w:r w:rsidR="005D3920" w:rsidRPr="005D3920">
        <w:rPr>
          <w:rFonts w:cs="Times New Roman"/>
          <w:sz w:val="22"/>
          <w:szCs w:val="22"/>
          <w:lang w:eastAsia="en-US"/>
        </w:rPr>
        <w:t xml:space="preserve"> </w:t>
      </w:r>
      <w:r w:rsidR="005D3920">
        <w:rPr>
          <w:rFonts w:cs="Times New Roman"/>
          <w:sz w:val="22"/>
          <w:szCs w:val="22"/>
          <w:lang w:eastAsia="en-US"/>
        </w:rPr>
        <w:t>a i po ukončení projektu v roce 2021</w:t>
      </w:r>
      <w:r w:rsidR="005D3920" w:rsidRPr="005D3920">
        <w:rPr>
          <w:rFonts w:cs="Times New Roman"/>
          <w:sz w:val="22"/>
          <w:szCs w:val="22"/>
          <w:lang w:eastAsia="en-US"/>
        </w:rPr>
        <w:t xml:space="preserve"> </w:t>
      </w:r>
      <w:r w:rsidR="005D3920">
        <w:rPr>
          <w:rFonts w:cs="Times New Roman"/>
          <w:sz w:val="22"/>
          <w:szCs w:val="22"/>
          <w:lang w:eastAsia="en-US"/>
        </w:rPr>
        <w:t>bylo možno</w:t>
      </w:r>
      <w:r w:rsidR="005D3920" w:rsidRPr="005D3920">
        <w:rPr>
          <w:rFonts w:cs="Times New Roman"/>
          <w:sz w:val="22"/>
          <w:szCs w:val="22"/>
          <w:lang w:eastAsia="en-US"/>
        </w:rPr>
        <w:t xml:space="preserve"> udrže</w:t>
      </w:r>
      <w:r w:rsidR="005D3920">
        <w:rPr>
          <w:rFonts w:cs="Times New Roman"/>
          <w:sz w:val="22"/>
          <w:szCs w:val="22"/>
          <w:lang w:eastAsia="en-US"/>
        </w:rPr>
        <w:t>t a rozvíjet</w:t>
      </w:r>
      <w:r w:rsidR="005D3920" w:rsidRPr="005D3920">
        <w:rPr>
          <w:rFonts w:cs="Times New Roman"/>
          <w:sz w:val="22"/>
          <w:szCs w:val="22"/>
          <w:lang w:eastAsia="en-US"/>
        </w:rPr>
        <w:t xml:space="preserve"> konziliární paliativní péč</w:t>
      </w:r>
      <w:r w:rsidR="005D3920">
        <w:rPr>
          <w:rFonts w:cs="Times New Roman"/>
          <w:sz w:val="22"/>
          <w:szCs w:val="22"/>
          <w:lang w:eastAsia="en-US"/>
        </w:rPr>
        <w:t>i</w:t>
      </w:r>
      <w:r w:rsidR="005D3920" w:rsidRPr="005D3920">
        <w:rPr>
          <w:rFonts w:cs="Times New Roman"/>
          <w:sz w:val="22"/>
          <w:szCs w:val="22"/>
          <w:lang w:eastAsia="en-US"/>
        </w:rPr>
        <w:t xml:space="preserve"> v</w:t>
      </w:r>
      <w:r w:rsidR="005D3920">
        <w:rPr>
          <w:rFonts w:cs="Times New Roman"/>
          <w:sz w:val="22"/>
          <w:szCs w:val="22"/>
          <w:lang w:eastAsia="en-US"/>
        </w:rPr>
        <w:t> </w:t>
      </w:r>
      <w:r w:rsidR="005D3920" w:rsidRPr="005D3920">
        <w:rPr>
          <w:rFonts w:cs="Times New Roman"/>
          <w:sz w:val="22"/>
          <w:szCs w:val="22"/>
          <w:lang w:eastAsia="en-US"/>
        </w:rPr>
        <w:t>nemocnicích</w:t>
      </w:r>
      <w:r w:rsidR="005D3920">
        <w:rPr>
          <w:rFonts w:cs="Times New Roman"/>
          <w:sz w:val="22"/>
          <w:szCs w:val="22"/>
          <w:lang w:eastAsia="en-US"/>
        </w:rPr>
        <w:t>.</w:t>
      </w:r>
    </w:p>
    <w:p w14:paraId="3326FEA1" w14:textId="77777777" w:rsidR="009A53F2" w:rsidRPr="00EF65CC" w:rsidRDefault="009A53F2" w:rsidP="009A53F2">
      <w:pPr>
        <w:tabs>
          <w:tab w:val="left" w:pos="5250"/>
        </w:tabs>
        <w:spacing w:before="200"/>
        <w:jc w:val="both"/>
        <w:rPr>
          <w:rFonts w:asciiTheme="majorHAnsi" w:eastAsia="Times New Roman" w:hAnsiTheme="majorHAnsi" w:cs="Arial"/>
          <w:bCs/>
          <w:sz w:val="22"/>
          <w:szCs w:val="20"/>
          <w:u w:val="single"/>
        </w:rPr>
      </w:pPr>
      <w:r w:rsidRPr="00EF65CC">
        <w:rPr>
          <w:rFonts w:asciiTheme="majorHAnsi" w:eastAsia="Times New Roman" w:hAnsiTheme="majorHAnsi" w:cs="Arial"/>
          <w:bCs/>
          <w:sz w:val="22"/>
          <w:szCs w:val="20"/>
          <w:u w:val="single"/>
        </w:rPr>
        <w:t>Společné stanovisko odborných společností k zajištění a poskytování paliativní péče v nemocničním prostředí</w:t>
      </w:r>
    </w:p>
    <w:p w14:paraId="6CFBF949" w14:textId="6ECAA210" w:rsidR="009A53F2" w:rsidRPr="00061EA2" w:rsidRDefault="009A53F2" w:rsidP="005A1039">
      <w:pPr>
        <w:tabs>
          <w:tab w:val="left" w:pos="5250"/>
        </w:tabs>
        <w:spacing w:before="200"/>
        <w:jc w:val="both"/>
        <w:rPr>
          <w:rFonts w:asciiTheme="majorHAnsi" w:eastAsia="Times New Roman" w:hAnsiTheme="majorHAnsi" w:cs="Arial"/>
          <w:sz w:val="22"/>
          <w:szCs w:val="22"/>
        </w:rPr>
      </w:pPr>
      <w:r w:rsidRPr="00061EA2">
        <w:rPr>
          <w:rFonts w:asciiTheme="majorHAnsi" w:eastAsia="Times New Roman" w:hAnsiTheme="majorHAnsi" w:cs="Arial"/>
          <w:bCs/>
          <w:sz w:val="22"/>
          <w:szCs w:val="22"/>
        </w:rPr>
        <w:t xml:space="preserve">Společné stanovisko vzniklo jako součást výše popsaného projektu MZČR. </w:t>
      </w:r>
      <w:r w:rsidR="00874350" w:rsidRPr="00061EA2">
        <w:rPr>
          <w:rFonts w:asciiTheme="majorHAnsi" w:eastAsia="Times New Roman" w:hAnsiTheme="majorHAnsi" w:cs="Arial"/>
          <w:bCs/>
          <w:sz w:val="22"/>
          <w:szCs w:val="22"/>
        </w:rPr>
        <w:t>P</w:t>
      </w:r>
      <w:r w:rsidRPr="00061EA2">
        <w:rPr>
          <w:rFonts w:asciiTheme="majorHAnsi" w:eastAsia="Times New Roman" w:hAnsiTheme="majorHAnsi" w:cs="Arial"/>
          <w:bCs/>
          <w:sz w:val="22"/>
          <w:szCs w:val="22"/>
        </w:rPr>
        <w:t>ojmenov</w:t>
      </w:r>
      <w:r w:rsidR="00874350" w:rsidRPr="00061EA2">
        <w:rPr>
          <w:rFonts w:asciiTheme="majorHAnsi" w:eastAsia="Times New Roman" w:hAnsiTheme="majorHAnsi" w:cs="Arial"/>
          <w:bCs/>
          <w:sz w:val="22"/>
          <w:szCs w:val="22"/>
        </w:rPr>
        <w:t>ává</w:t>
      </w:r>
      <w:r w:rsidRPr="00061EA2">
        <w:rPr>
          <w:rFonts w:asciiTheme="majorHAnsi" w:eastAsia="Times New Roman" w:hAnsiTheme="majorHAnsi" w:cs="Arial"/>
          <w:bCs/>
          <w:sz w:val="22"/>
          <w:szCs w:val="22"/>
        </w:rPr>
        <w:t xml:space="preserve"> klíčové aspekty pro zajištění specializované paliativní péče v nemocnicích </w:t>
      </w:r>
      <w:r w:rsidR="00874350" w:rsidRPr="00061EA2">
        <w:rPr>
          <w:rFonts w:asciiTheme="majorHAnsi" w:eastAsia="Times New Roman" w:hAnsiTheme="majorHAnsi" w:cs="Arial"/>
          <w:bCs/>
          <w:sz w:val="22"/>
          <w:szCs w:val="22"/>
        </w:rPr>
        <w:t>a formuluje opatření potřebná pro dosažení funkční sítě nemocniční paliativní péče v ČR</w:t>
      </w:r>
      <w:r w:rsidRPr="00061EA2">
        <w:rPr>
          <w:rFonts w:asciiTheme="majorHAnsi" w:eastAsia="Times New Roman" w:hAnsiTheme="majorHAnsi" w:cs="Arial"/>
          <w:bCs/>
          <w:sz w:val="22"/>
          <w:szCs w:val="22"/>
        </w:rPr>
        <w:t>. Podepsalo jej 18 odborných společností ČLS JEP a 5 dalších institucí v oblasti paliativní péče.</w:t>
      </w:r>
      <w:r w:rsidR="00EF65CC">
        <w:rPr>
          <w:rFonts w:asciiTheme="majorHAnsi" w:eastAsia="Times New Roman" w:hAnsiTheme="majorHAnsi" w:cs="Arial"/>
          <w:bCs/>
          <w:sz w:val="22"/>
          <w:szCs w:val="22"/>
        </w:rPr>
        <w:t xml:space="preserve"> </w:t>
      </w:r>
    </w:p>
    <w:p w14:paraId="5A4D573B" w14:textId="7FEB4E88" w:rsidR="006169FF" w:rsidRPr="00EF65CC" w:rsidRDefault="006169FF" w:rsidP="006169FF">
      <w:pPr>
        <w:spacing w:before="200"/>
        <w:rPr>
          <w:rFonts w:asciiTheme="majorHAnsi" w:eastAsia="Times New Roman" w:hAnsiTheme="majorHAnsi" w:cs="Arial"/>
          <w:sz w:val="22"/>
          <w:szCs w:val="20"/>
          <w:u w:val="single"/>
        </w:rPr>
      </w:pPr>
      <w:r w:rsidRPr="00EF65CC">
        <w:rPr>
          <w:rFonts w:asciiTheme="majorHAnsi" w:eastAsia="Times New Roman" w:hAnsiTheme="majorHAnsi" w:cs="Arial"/>
          <w:sz w:val="22"/>
          <w:szCs w:val="20"/>
          <w:u w:val="single"/>
        </w:rPr>
        <w:t>Memorandum o</w:t>
      </w:r>
      <w:r w:rsidR="00EB3AD4" w:rsidRPr="00EF65CC">
        <w:rPr>
          <w:rFonts w:asciiTheme="majorHAnsi" w:eastAsia="Times New Roman" w:hAnsiTheme="majorHAnsi" w:cs="Arial"/>
          <w:sz w:val="22"/>
          <w:szCs w:val="20"/>
          <w:u w:val="single"/>
        </w:rPr>
        <w:t xml:space="preserve"> spolupráci na systematickém rozvoji paliativní péče v ČR</w:t>
      </w:r>
    </w:p>
    <w:p w14:paraId="371E1642" w14:textId="28C34D98" w:rsidR="002A6202" w:rsidRPr="00061EA2" w:rsidRDefault="00EB3AD4" w:rsidP="00EB3AD4">
      <w:pPr>
        <w:spacing w:before="200"/>
        <w:rPr>
          <w:rFonts w:asciiTheme="majorHAnsi" w:eastAsia="Times New Roman" w:hAnsiTheme="majorHAnsi" w:cs="Arial"/>
          <w:bCs/>
          <w:sz w:val="22"/>
          <w:szCs w:val="22"/>
        </w:rPr>
      </w:pPr>
      <w:r w:rsidRPr="00061EA2">
        <w:rPr>
          <w:rFonts w:asciiTheme="majorHAnsi" w:eastAsia="Times New Roman" w:hAnsiTheme="majorHAnsi" w:cs="Arial"/>
          <w:sz w:val="22"/>
          <w:szCs w:val="22"/>
        </w:rPr>
        <w:t xml:space="preserve">Memorandum </w:t>
      </w:r>
      <w:r>
        <w:rPr>
          <w:rFonts w:asciiTheme="majorHAnsi" w:eastAsia="Times New Roman" w:hAnsiTheme="majorHAnsi" w:cs="Arial"/>
          <w:sz w:val="22"/>
          <w:szCs w:val="22"/>
        </w:rPr>
        <w:t>podepsal m</w:t>
      </w:r>
      <w:r w:rsidR="006169FF" w:rsidRPr="00061EA2">
        <w:rPr>
          <w:rFonts w:asciiTheme="majorHAnsi" w:eastAsia="Times New Roman" w:hAnsiTheme="majorHAnsi" w:cs="Arial"/>
          <w:sz w:val="22"/>
          <w:szCs w:val="22"/>
        </w:rPr>
        <w:t xml:space="preserve">inistr zdravotnictví Adam Vojtěch spolu s představiteli všech sedmi českých zdravotních pojišťoven a České společnosti paliativní medicíny ČLS JEP </w:t>
      </w:r>
      <w:r w:rsidR="009A53F2" w:rsidRPr="00061EA2">
        <w:rPr>
          <w:rFonts w:asciiTheme="majorHAnsi" w:eastAsia="Times New Roman" w:hAnsiTheme="majorHAnsi" w:cs="Arial"/>
          <w:sz w:val="22"/>
          <w:szCs w:val="22"/>
        </w:rPr>
        <w:t>v červenci 2019</w:t>
      </w:r>
      <w:r w:rsidR="006169FF" w:rsidRPr="00061EA2">
        <w:rPr>
          <w:rFonts w:asciiTheme="majorHAnsi" w:eastAsia="Times New Roman" w:hAnsiTheme="majorHAnsi" w:cs="Arial"/>
          <w:sz w:val="22"/>
          <w:szCs w:val="22"/>
        </w:rPr>
        <w:t>.</w:t>
      </w:r>
      <w:r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6169FF" w:rsidRPr="00061EA2">
        <w:rPr>
          <w:rFonts w:asciiTheme="majorHAnsi" w:eastAsia="Times New Roman" w:hAnsiTheme="majorHAnsi" w:cs="Arial"/>
          <w:sz w:val="22"/>
          <w:szCs w:val="22"/>
        </w:rPr>
        <w:t>Memorandum má zajistit rozvoj paliativní péče tak, aby každému nevyléčitelně nemocnému pacientovi byla dostupná kvalitní péče, která zmírňuje jeho fyzické utrpení, a to v nemocničním či domácím prostředí. Zároveň má pomoci v souladu s nejnovějšími poznatky lékařské vědy nastavit optimální model koordinace paliativní péče.</w:t>
      </w:r>
      <w:r>
        <w:rPr>
          <w:rFonts w:asciiTheme="majorHAnsi" w:eastAsia="Times New Roman" w:hAnsiTheme="majorHAnsi" w:cs="Arial"/>
          <w:sz w:val="22"/>
          <w:szCs w:val="22"/>
        </w:rPr>
        <w:t xml:space="preserve"> </w:t>
      </w:r>
      <w:hyperlink r:id="rId8" w:history="1">
        <w:r w:rsidR="006169FF" w:rsidRPr="00061EA2">
          <w:rPr>
            <w:rStyle w:val="Hypertextovodkaz"/>
            <w:rFonts w:asciiTheme="majorHAnsi" w:eastAsia="Times New Roman" w:hAnsiTheme="majorHAnsi" w:cs="Arial"/>
            <w:bCs/>
            <w:sz w:val="22"/>
            <w:szCs w:val="22"/>
          </w:rPr>
          <w:t>https://paliativa.cz/podpora-paliativni-pece-v-nemocnicich/pro-verejnost/ministr-zdravotnictvi-odborna-spolecnost</w:t>
        </w:r>
      </w:hyperlink>
      <w:r w:rsidR="006169FF" w:rsidRPr="00061EA2">
        <w:rPr>
          <w:rFonts w:asciiTheme="majorHAnsi" w:eastAsia="Times New Roman" w:hAnsiTheme="majorHAnsi" w:cs="Arial"/>
          <w:bCs/>
          <w:sz w:val="22"/>
          <w:szCs w:val="22"/>
        </w:rPr>
        <w:t xml:space="preserve"> </w:t>
      </w:r>
    </w:p>
    <w:p w14:paraId="163A5B7A" w14:textId="77777777" w:rsidR="00EF65CC" w:rsidRDefault="00EF65CC" w:rsidP="00EF65CC">
      <w:pPr>
        <w:tabs>
          <w:tab w:val="left" w:pos="5250"/>
        </w:tabs>
        <w:spacing w:before="200"/>
        <w:jc w:val="both"/>
        <w:rPr>
          <w:rFonts w:asciiTheme="majorHAnsi" w:eastAsia="Times New Roman" w:hAnsiTheme="majorHAnsi" w:cs="Arial"/>
          <w:bCs/>
          <w:sz w:val="22"/>
          <w:szCs w:val="20"/>
        </w:rPr>
      </w:pPr>
    </w:p>
    <w:p w14:paraId="71D05204" w14:textId="57D42013" w:rsidR="00BC22C7" w:rsidRDefault="00BC22C7" w:rsidP="00EF65CC">
      <w:pPr>
        <w:tabs>
          <w:tab w:val="left" w:pos="5250"/>
        </w:tabs>
        <w:jc w:val="both"/>
        <w:rPr>
          <w:rFonts w:asciiTheme="majorHAnsi" w:eastAsia="Times New Roman" w:hAnsiTheme="majorHAnsi" w:cs="Arial"/>
          <w:bCs/>
          <w:sz w:val="22"/>
          <w:szCs w:val="20"/>
        </w:rPr>
      </w:pPr>
      <w:r w:rsidRPr="00BC22C7">
        <w:rPr>
          <w:rFonts w:asciiTheme="majorHAnsi" w:eastAsia="Times New Roman" w:hAnsiTheme="majorHAnsi" w:cs="Arial"/>
          <w:bCs/>
          <w:sz w:val="22"/>
          <w:szCs w:val="20"/>
        </w:rPr>
        <w:t>Více informací:</w:t>
      </w:r>
    </w:p>
    <w:p w14:paraId="7FDF610D" w14:textId="77777777" w:rsidR="00EF65CC" w:rsidRPr="00E74068" w:rsidRDefault="00EF65CC" w:rsidP="00EF65CC">
      <w:pPr>
        <w:tabs>
          <w:tab w:val="left" w:pos="5250"/>
        </w:tabs>
        <w:jc w:val="both"/>
        <w:rPr>
          <w:rFonts w:cs="Times New Roman"/>
          <w:sz w:val="8"/>
          <w:szCs w:val="8"/>
          <w:lang w:eastAsia="en-US"/>
        </w:rPr>
      </w:pPr>
    </w:p>
    <w:p w14:paraId="662CB541" w14:textId="39B11E44" w:rsidR="00BC22C7" w:rsidRPr="00BC22C7" w:rsidRDefault="00BC22C7" w:rsidP="00BC22C7">
      <w:pPr>
        <w:rPr>
          <w:rFonts w:eastAsia="Times New Roman" w:cs="Times New Roman"/>
          <w:noProof/>
          <w:sz w:val="22"/>
          <w:szCs w:val="22"/>
        </w:rPr>
      </w:pPr>
      <w:bookmarkStart w:id="0" w:name="_MailAutoSig"/>
      <w:r w:rsidRPr="00BC22C7">
        <w:rPr>
          <w:rFonts w:eastAsia="Times New Roman" w:cs="Times New Roman"/>
          <w:b/>
          <w:noProof/>
          <w:sz w:val="22"/>
          <w:szCs w:val="22"/>
        </w:rPr>
        <w:t>Mgr. Jarmila Neumannová</w:t>
      </w:r>
      <w:r w:rsidR="00EF65CC">
        <w:rPr>
          <w:rFonts w:eastAsia="Times New Roman" w:cs="Times New Roman"/>
          <w:b/>
          <w:noProof/>
          <w:sz w:val="22"/>
          <w:szCs w:val="22"/>
        </w:rPr>
        <w:t xml:space="preserve">, </w:t>
      </w:r>
      <w:r w:rsidRPr="00BC22C7">
        <w:rPr>
          <w:rFonts w:eastAsia="Times New Roman" w:cs="Times New Roman"/>
          <w:noProof/>
          <w:sz w:val="22"/>
          <w:szCs w:val="22"/>
        </w:rPr>
        <w:t>P</w:t>
      </w:r>
      <w:r>
        <w:rPr>
          <w:rFonts w:eastAsia="Times New Roman" w:cs="Times New Roman"/>
          <w:noProof/>
          <w:sz w:val="22"/>
          <w:szCs w:val="22"/>
        </w:rPr>
        <w:t>R</w:t>
      </w:r>
      <w:r w:rsidRPr="00BC22C7">
        <w:rPr>
          <w:rFonts w:eastAsia="Times New Roman" w:cs="Times New Roman"/>
          <w:noProof/>
          <w:sz w:val="22"/>
          <w:szCs w:val="22"/>
        </w:rPr>
        <w:t xml:space="preserve"> projektu</w:t>
      </w:r>
    </w:p>
    <w:p w14:paraId="41390A7F" w14:textId="43A6C21D" w:rsidR="00BC22C7" w:rsidRPr="00BC22C7" w:rsidRDefault="00BC22C7" w:rsidP="00BC22C7">
      <w:pPr>
        <w:rPr>
          <w:rFonts w:eastAsia="Times New Roman" w:cs="Times New Roman"/>
          <w:noProof/>
          <w:sz w:val="22"/>
          <w:szCs w:val="22"/>
        </w:rPr>
      </w:pPr>
      <w:r w:rsidRPr="00BC22C7">
        <w:rPr>
          <w:rFonts w:eastAsia="Times New Roman" w:cs="Times New Roman"/>
          <w:noProof/>
          <w:sz w:val="22"/>
          <w:szCs w:val="22"/>
        </w:rPr>
        <w:t>Mobil: +420 774 894</w:t>
      </w:r>
      <w:r w:rsidR="00EF65CC">
        <w:rPr>
          <w:rFonts w:eastAsia="Times New Roman" w:cs="Times New Roman"/>
          <w:noProof/>
          <w:sz w:val="22"/>
          <w:szCs w:val="22"/>
        </w:rPr>
        <w:t> </w:t>
      </w:r>
      <w:r w:rsidRPr="00BC22C7">
        <w:rPr>
          <w:rFonts w:eastAsia="Times New Roman" w:cs="Times New Roman"/>
          <w:noProof/>
          <w:sz w:val="22"/>
          <w:szCs w:val="22"/>
        </w:rPr>
        <w:t>848</w:t>
      </w:r>
      <w:r w:rsidR="00EF65CC">
        <w:rPr>
          <w:rFonts w:eastAsia="Times New Roman" w:cs="Times New Roman"/>
          <w:noProof/>
          <w:sz w:val="22"/>
          <w:szCs w:val="22"/>
        </w:rPr>
        <w:t xml:space="preserve">; </w:t>
      </w:r>
      <w:r w:rsidRPr="00BC22C7">
        <w:rPr>
          <w:rFonts w:eastAsia="Times New Roman" w:cs="Times New Roman"/>
          <w:noProof/>
          <w:sz w:val="22"/>
          <w:szCs w:val="22"/>
        </w:rPr>
        <w:t xml:space="preserve">E-mail: </w:t>
      </w:r>
      <w:hyperlink r:id="rId9" w:history="1">
        <w:r w:rsidRPr="00BC22C7">
          <w:rPr>
            <w:rFonts w:eastAsia="Times New Roman" w:cs="Times New Roman"/>
            <w:noProof/>
            <w:color w:val="0000FF"/>
            <w:sz w:val="22"/>
            <w:szCs w:val="22"/>
            <w:u w:val="single"/>
          </w:rPr>
          <w:t>jneumannova@outlook.cz</w:t>
        </w:r>
      </w:hyperlink>
      <w:r w:rsidRPr="00BC22C7">
        <w:rPr>
          <w:rFonts w:eastAsia="Times New Roman" w:cs="Times New Roman"/>
          <w:noProof/>
          <w:sz w:val="22"/>
          <w:szCs w:val="22"/>
        </w:rPr>
        <w:t xml:space="preserve"> </w:t>
      </w:r>
      <w:bookmarkEnd w:id="0"/>
    </w:p>
    <w:p w14:paraId="3B930CAC" w14:textId="3070FCB2" w:rsidR="00EF65CC" w:rsidRDefault="00EF65CC">
      <w:pPr>
        <w:tabs>
          <w:tab w:val="left" w:pos="5250"/>
        </w:tabs>
        <w:spacing w:before="200"/>
        <w:jc w:val="both"/>
        <w:rPr>
          <w:rFonts w:asciiTheme="majorHAnsi" w:eastAsia="Times New Roman" w:hAnsiTheme="majorHAnsi" w:cs="Arial"/>
          <w:bCs/>
          <w:szCs w:val="22"/>
        </w:rPr>
      </w:pPr>
    </w:p>
    <w:p w14:paraId="3AA11A4A" w14:textId="26C18177" w:rsidR="00947FE9" w:rsidRPr="00ED3926" w:rsidRDefault="00947FE9" w:rsidP="00ED3926">
      <w:pPr>
        <w:spacing w:after="160" w:line="259" w:lineRule="auto"/>
        <w:rPr>
          <w:rFonts w:cs="Times New Roman"/>
          <w:i/>
          <w:iCs/>
          <w:sz w:val="22"/>
          <w:szCs w:val="22"/>
          <w:lang w:eastAsia="en-US"/>
        </w:rPr>
      </w:pPr>
      <w:r w:rsidRPr="00A526D5">
        <w:rPr>
          <w:rFonts w:cs="Times New Roman"/>
          <w:i/>
          <w:iCs/>
          <w:sz w:val="22"/>
          <w:szCs w:val="22"/>
          <w:lang w:eastAsia="en-US"/>
        </w:rPr>
        <w:t>Projekt „Podpora paliativní péče – zvýšení dostupnosti zdravotních služeb v oblasti paliativní péče v nemocnicích akutní a následné péče“ (reg. č. CZ.03.2.63/0.0/0.00/15_039/0007277) realizovaný v letech 2018-2021 Ministerstvem zdravotnictví ČR v rámci Operačního programu Zaměstnanost spolufinancovaného z Evropského sociálního fondu.</w:t>
      </w:r>
      <w:r>
        <w:rPr>
          <w:rFonts w:cs="Times New Roman"/>
          <w:i/>
          <w:iCs/>
          <w:sz w:val="22"/>
          <w:szCs w:val="22"/>
          <w:lang w:eastAsia="en-US"/>
        </w:rPr>
        <w:t xml:space="preserve"> </w:t>
      </w:r>
      <w:hyperlink r:id="rId10" w:history="1">
        <w:r w:rsidRPr="004E0BC0">
          <w:rPr>
            <w:rStyle w:val="Hypertextovodkaz"/>
            <w:rFonts w:cs="Times New Roman"/>
            <w:i/>
            <w:iCs/>
            <w:sz w:val="22"/>
            <w:szCs w:val="22"/>
            <w:lang w:eastAsia="en-US"/>
          </w:rPr>
          <w:t>https://paliativa.cz</w:t>
        </w:r>
      </w:hyperlink>
      <w:r>
        <w:rPr>
          <w:rFonts w:cs="Times New Roman"/>
          <w:i/>
          <w:iCs/>
          <w:sz w:val="22"/>
          <w:szCs w:val="22"/>
          <w:lang w:eastAsia="en-US"/>
        </w:rPr>
        <w:t xml:space="preserve"> </w:t>
      </w:r>
    </w:p>
    <w:sectPr w:rsidR="00947FE9" w:rsidRPr="00ED3926" w:rsidSect="00A960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AC87C" w14:textId="77777777" w:rsidR="00F51D96" w:rsidRDefault="00F51D96">
      <w:r>
        <w:separator/>
      </w:r>
    </w:p>
  </w:endnote>
  <w:endnote w:type="continuationSeparator" w:id="0">
    <w:p w14:paraId="366AACB6" w14:textId="77777777" w:rsidR="00F51D96" w:rsidRDefault="00F5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OpenSymbol">
    <w:altName w:val="Arial Unicode MS"/>
    <w:panose1 w:val="020B0604020202020204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F1DCE" w14:textId="77777777" w:rsidR="0087545D" w:rsidRDefault="008754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8945D" w14:textId="77777777" w:rsidR="00EC4001" w:rsidRDefault="0087545D" w:rsidP="0087545D">
    <w:pPr>
      <w:tabs>
        <w:tab w:val="left" w:pos="1380"/>
      </w:tabs>
      <w:rPr>
        <w:rFonts w:ascii="Gill Sans" w:eastAsia="Gill Sans" w:hAnsi="Gill Sans" w:cs="Gill Sans"/>
        <w:color w:val="00000A"/>
        <w:sz w:val="18"/>
        <w:szCs w:val="18"/>
      </w:rPr>
    </w:pPr>
    <w:r>
      <w:rPr>
        <w:rFonts w:ascii="Gill Sans" w:eastAsia="Gill Sans" w:hAnsi="Gill Sans" w:cs="Gill Sans"/>
        <w:color w:val="00000A"/>
        <w:sz w:val="18"/>
        <w:szCs w:val="18"/>
      </w:rPr>
      <w:tab/>
    </w:r>
  </w:p>
  <w:p w14:paraId="2CB0ABE6" w14:textId="77777777" w:rsidR="00802115" w:rsidRPr="00340DB8" w:rsidRDefault="00802115" w:rsidP="00802115">
    <w:pPr>
      <w:tabs>
        <w:tab w:val="center" w:pos="4536"/>
        <w:tab w:val="right" w:pos="9072"/>
      </w:tabs>
      <w:rPr>
        <w:rFonts w:ascii="Calibri Light" w:eastAsia="Gill Sans" w:hAnsi="Calibri Light" w:cs="Calibri Light"/>
        <w:color w:val="00000A"/>
        <w:sz w:val="18"/>
        <w:szCs w:val="18"/>
      </w:rPr>
    </w:pPr>
    <w:r w:rsidRPr="00340DB8">
      <w:rPr>
        <w:rFonts w:ascii="Calibri Light" w:eastAsia="Gill Sans" w:hAnsi="Calibri Light" w:cs="Calibri Light"/>
        <w:color w:val="00000A"/>
        <w:sz w:val="18"/>
        <w:szCs w:val="18"/>
      </w:rPr>
      <w:t>Projekt: Podpora paliativní péče - zvýšení dostupnosti zdravotních služeb v oblasti paliativní péče v nemocnicích akutní a následné péče”, reg. č.: CZ.03.2.63/0.0/0.0/15_039/0007277</w:t>
    </w:r>
  </w:p>
  <w:p w14:paraId="10BF508D" w14:textId="77777777" w:rsidR="00EC4001" w:rsidRDefault="00EC4001" w:rsidP="00802115">
    <w:pPr>
      <w:tabs>
        <w:tab w:val="center" w:pos="4536"/>
        <w:tab w:val="right" w:pos="9072"/>
      </w:tabs>
      <w:jc w:val="center"/>
      <w:rPr>
        <w:rFonts w:ascii="Gill Sans" w:eastAsia="Gill Sans" w:hAnsi="Gill Sans" w:cs="Gill Sans"/>
        <w:color w:val="00000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22856" w14:textId="77777777" w:rsidR="0087545D" w:rsidRDefault="008754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74541" w14:textId="77777777" w:rsidR="00F51D96" w:rsidRDefault="00F51D96">
      <w:r>
        <w:separator/>
      </w:r>
    </w:p>
  </w:footnote>
  <w:footnote w:type="continuationSeparator" w:id="0">
    <w:p w14:paraId="4951A591" w14:textId="77777777" w:rsidR="00F51D96" w:rsidRDefault="00F51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D480D" w14:textId="77777777" w:rsidR="0087545D" w:rsidRDefault="008754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BDA56" w14:textId="77777777" w:rsidR="00EC4001" w:rsidRDefault="00EC4001" w:rsidP="00EC4001">
    <w:r>
      <w:rPr>
        <w:noProof/>
      </w:rPr>
      <w:drawing>
        <wp:inline distT="0" distB="0" distL="0" distR="0" wp14:anchorId="0FCD7C60" wp14:editId="59292BDE">
          <wp:extent cx="1619250" cy="333375"/>
          <wp:effectExtent l="0" t="0" r="0" b="952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  <w:t xml:space="preserve">      </w:t>
    </w:r>
    <w:r>
      <w:rPr>
        <w:noProof/>
      </w:rPr>
      <w:drawing>
        <wp:inline distT="0" distB="0" distL="0" distR="0" wp14:anchorId="1B84B7F2" wp14:editId="4D917FA7">
          <wp:extent cx="2428875" cy="504825"/>
          <wp:effectExtent l="0" t="0" r="9525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33EEC8" w14:textId="77777777" w:rsidR="002A6202" w:rsidRDefault="002A6202">
    <w:pP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391A5" w14:textId="77777777" w:rsidR="0087545D" w:rsidRDefault="008754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686D"/>
    <w:multiLevelType w:val="multilevel"/>
    <w:tmpl w:val="F03EFFB8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/>
        <w:sz w:val="22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C166638"/>
    <w:multiLevelType w:val="multilevel"/>
    <w:tmpl w:val="89FACA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7CF269A"/>
    <w:multiLevelType w:val="hybridMultilevel"/>
    <w:tmpl w:val="7884D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31597"/>
    <w:multiLevelType w:val="hybridMultilevel"/>
    <w:tmpl w:val="0C5A3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95E84"/>
    <w:multiLevelType w:val="hybridMultilevel"/>
    <w:tmpl w:val="6CA804D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6FC708B"/>
    <w:multiLevelType w:val="multilevel"/>
    <w:tmpl w:val="91AABE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97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A87376B"/>
    <w:multiLevelType w:val="multilevel"/>
    <w:tmpl w:val="79C889E2"/>
    <w:lvl w:ilvl="0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b/>
        <w:sz w:val="22"/>
        <w:u w:val="none"/>
      </w:rPr>
    </w:lvl>
    <w:lvl w:ilvl="1">
      <w:start w:val="1"/>
      <w:numFmt w:val="bullet"/>
      <w:lvlText w:val=""/>
      <w:lvlJc w:val="left"/>
      <w:pPr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7" w15:restartNumberingAfterBreak="0">
    <w:nsid w:val="798118A1"/>
    <w:multiLevelType w:val="multilevel"/>
    <w:tmpl w:val="0FB05592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02"/>
    <w:rsid w:val="00061EA2"/>
    <w:rsid w:val="000B476A"/>
    <w:rsid w:val="000C21EF"/>
    <w:rsid w:val="00155896"/>
    <w:rsid w:val="00270258"/>
    <w:rsid w:val="002A6202"/>
    <w:rsid w:val="00321806"/>
    <w:rsid w:val="00340DB8"/>
    <w:rsid w:val="00346B83"/>
    <w:rsid w:val="003E7354"/>
    <w:rsid w:val="00476687"/>
    <w:rsid w:val="004F5C98"/>
    <w:rsid w:val="004F6923"/>
    <w:rsid w:val="00532EDC"/>
    <w:rsid w:val="005A1039"/>
    <w:rsid w:val="005D3920"/>
    <w:rsid w:val="006169FF"/>
    <w:rsid w:val="00625D8B"/>
    <w:rsid w:val="00640693"/>
    <w:rsid w:val="0068591D"/>
    <w:rsid w:val="007407B1"/>
    <w:rsid w:val="007A7889"/>
    <w:rsid w:val="00802115"/>
    <w:rsid w:val="008273CA"/>
    <w:rsid w:val="00866C03"/>
    <w:rsid w:val="00874350"/>
    <w:rsid w:val="0087545D"/>
    <w:rsid w:val="00925F4E"/>
    <w:rsid w:val="00947FE9"/>
    <w:rsid w:val="009A4E51"/>
    <w:rsid w:val="009A53F2"/>
    <w:rsid w:val="00A526D5"/>
    <w:rsid w:val="00A7680E"/>
    <w:rsid w:val="00A83FFE"/>
    <w:rsid w:val="00A9602C"/>
    <w:rsid w:val="00B07519"/>
    <w:rsid w:val="00B30F1C"/>
    <w:rsid w:val="00BC22C7"/>
    <w:rsid w:val="00C41ADA"/>
    <w:rsid w:val="00C60E40"/>
    <w:rsid w:val="00D948D4"/>
    <w:rsid w:val="00DE118F"/>
    <w:rsid w:val="00E74068"/>
    <w:rsid w:val="00E915F0"/>
    <w:rsid w:val="00EB3AD4"/>
    <w:rsid w:val="00EC4001"/>
    <w:rsid w:val="00ED3926"/>
    <w:rsid w:val="00EF4F28"/>
    <w:rsid w:val="00EF65CC"/>
    <w:rsid w:val="00F51D96"/>
    <w:rsid w:val="00F9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680A"/>
  <w15:docId w15:val="{FC3CAF59-4F7F-40E2-AF3C-2107ED80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qFormat/>
    <w:pPr>
      <w:keepNext/>
      <w:tabs>
        <w:tab w:val="left" w:pos="7088"/>
      </w:tabs>
      <w:spacing w:before="240" w:after="60"/>
      <w:ind w:left="432" w:hanging="432"/>
      <w:jc w:val="center"/>
      <w:outlineLvl w:val="0"/>
    </w:pPr>
    <w:rPr>
      <w:b/>
      <w:sz w:val="28"/>
      <w:szCs w:val="28"/>
    </w:rPr>
  </w:style>
  <w:style w:type="paragraph" w:styleId="Nadpis2">
    <w:name w:val="heading 2"/>
    <w:basedOn w:val="Normln"/>
    <w:qFormat/>
    <w:pPr>
      <w:keepNext/>
      <w:keepLines/>
      <w:spacing w:before="200"/>
      <w:ind w:left="576" w:hanging="576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qFormat/>
    <w:pPr>
      <w:keepNext/>
      <w:keepLines/>
      <w:spacing w:before="200"/>
      <w:ind w:left="720" w:hanging="720"/>
      <w:outlineLvl w:val="2"/>
    </w:pPr>
    <w:rPr>
      <w:rFonts w:ascii="Cambria" w:eastAsia="Cambria" w:hAnsi="Cambria" w:cs="Cambria"/>
      <w:b/>
      <w:color w:val="4F81BD"/>
    </w:rPr>
  </w:style>
  <w:style w:type="paragraph" w:styleId="Nadpis4">
    <w:name w:val="heading 4"/>
    <w:basedOn w:val="Normln"/>
    <w:qFormat/>
    <w:pPr>
      <w:keepNext/>
      <w:keepLines/>
      <w:spacing w:before="200"/>
      <w:ind w:left="864" w:hanging="864"/>
      <w:outlineLvl w:val="3"/>
    </w:pPr>
    <w:rPr>
      <w:rFonts w:ascii="Cambria" w:eastAsia="Cambria" w:hAnsi="Cambria" w:cs="Cambria"/>
      <w:b/>
      <w:i/>
      <w:color w:val="4F81BD"/>
    </w:rPr>
  </w:style>
  <w:style w:type="paragraph" w:styleId="Nadpis5">
    <w:name w:val="heading 5"/>
    <w:basedOn w:val="Normln"/>
    <w:qFormat/>
    <w:pPr>
      <w:spacing w:before="240" w:after="60"/>
      <w:ind w:left="1008" w:hanging="1008"/>
      <w:outlineLvl w:val="4"/>
    </w:pPr>
    <w:rPr>
      <w:rFonts w:ascii="Arial" w:eastAsia="Arial" w:hAnsi="Arial" w:cs="Arial"/>
      <w:sz w:val="22"/>
      <w:szCs w:val="22"/>
    </w:rPr>
  </w:style>
  <w:style w:type="paragraph" w:styleId="Nadpis6">
    <w:name w:val="heading 6"/>
    <w:basedOn w:val="Normln"/>
    <w:qFormat/>
    <w:pPr>
      <w:keepNext/>
      <w:keepLines/>
      <w:spacing w:before="200"/>
      <w:ind w:left="1152" w:hanging="1152"/>
      <w:outlineLvl w:val="5"/>
    </w:pPr>
    <w:rPr>
      <w:rFonts w:ascii="Cambria" w:eastAsia="Cambria" w:hAnsi="Cambria" w:cs="Cambria"/>
      <w:i/>
      <w:color w:val="243F6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25DD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Arial" w:hAnsi="Arial"/>
      <w:b/>
      <w:sz w:val="22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hAnsi="Times New Roman"/>
      <w:sz w:val="22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rFonts w:ascii="Times New Roman" w:hAnsi="Times New Roman"/>
      <w:sz w:val="22"/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color w:val="1155CC"/>
      <w:sz w:val="22"/>
      <w:szCs w:val="22"/>
      <w:u w:val="single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9">
    <w:name w:val="ListLabel 29"/>
    <w:qFormat/>
    <w:rPr>
      <w:rFonts w:ascii="Times New Roman" w:eastAsia="Times New Roman" w:hAnsi="Times New Roman" w:cs="Times New Roman"/>
      <w:color w:val="0000FF"/>
      <w:sz w:val="22"/>
      <w:szCs w:val="22"/>
      <w:u w:val="single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25DD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3C24"/>
    <w:pPr>
      <w:ind w:left="720"/>
      <w:contextualSpacing/>
    </w:pPr>
  </w:style>
  <w:style w:type="paragraph" w:styleId="Textpoznpodarou">
    <w:name w:val="footnote text"/>
    <w:basedOn w:val="Normln"/>
  </w:style>
  <w:style w:type="paragraph" w:styleId="Zhlav">
    <w:name w:val="header"/>
    <w:basedOn w:val="Normln"/>
  </w:style>
  <w:style w:type="paragraph" w:styleId="Zpat">
    <w:name w:val="footer"/>
    <w:basedOn w:val="Normln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169F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6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liativa.cz/podpora-paliativni-pece-v-nemocnicich/pro-verejnost/ministr-zdravotnictvi-odborna-spolecnos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aliativ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neumannova@outlook.c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774E2-D7E8-434D-8072-ABE73A2D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937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Pinkasová Petra</dc:creator>
  <cp:lastModifiedBy>Microsoft Office User</cp:lastModifiedBy>
  <cp:revision>2</cp:revision>
  <cp:lastPrinted>2018-11-21T16:18:00Z</cp:lastPrinted>
  <dcterms:created xsi:type="dcterms:W3CDTF">2021-09-08T11:28:00Z</dcterms:created>
  <dcterms:modified xsi:type="dcterms:W3CDTF">2021-09-08T11:28:00Z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MZČR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