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link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5542AC0D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610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371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06E5A06A" w:rsidR="008A660A" w:rsidRPr="002370CB" w:rsidRDefault="008A660A" w:rsidP="00BB155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, A202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323E7AF4" w:rsidR="006A5E3D" w:rsidRPr="00EE1943" w:rsidRDefault="00BB155D" w:rsidP="00BB155D">
            <w:pPr>
              <w:pStyle w:val="ListParagraph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BB155D">
              <w:rPr>
                <w:rFonts w:asciiTheme="minorHAnsi" w:hAnsiTheme="minorHAnsi" w:cstheme="minorHAnsi"/>
                <w:bCs/>
              </w:rPr>
              <w:t>Umístění bez souhlasu a vážně míněný nesouhlas, (pro sociální pracovníky a opatrovníky na obci) – webinář</w:t>
            </w:r>
            <w:r>
              <w:t xml:space="preserve"> </w:t>
            </w:r>
          </w:p>
        </w:tc>
        <w:tc>
          <w:tcPr>
            <w:tcW w:w="577" w:type="pct"/>
            <w:vAlign w:val="center"/>
          </w:tcPr>
          <w:p w14:paraId="5CE72ED4" w14:textId="77777777" w:rsidR="00D06A7D" w:rsidRDefault="00BB155D" w:rsidP="00BB155D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16</w:t>
            </w:r>
            <w:r w:rsidR="00DE3968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05</w:t>
            </w:r>
            <w:r w:rsidR="00D06A7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.2024</w:t>
            </w:r>
          </w:p>
          <w:p w14:paraId="04112CB7" w14:textId="2BFC712E" w:rsidR="00BB155D" w:rsidRPr="002370CB" w:rsidRDefault="00BB155D" w:rsidP="00BB155D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08.11.2024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A21638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9" w:history="1">
        <w:r w:rsidR="00154BED" w:rsidRPr="00154BED">
          <w:rPr>
            <w:rStyle w:val="Hyperlink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A216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A216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A21638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A216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A21638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A21638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A21638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A21638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A21638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A21638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A21638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A21638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A216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A216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A21638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A21638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ListParagraph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0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1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2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3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A21638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A21638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A21638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A21638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A21638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al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6A794E27" w:rsidR="00E46A27" w:rsidRDefault="001F52D3" w:rsidP="00E46A27">
      <w:pPr>
        <w:pStyle w:val="Styl1"/>
        <w:rPr>
          <w:w w:val="150"/>
        </w:rPr>
      </w:pPr>
      <w:r w:rsidRPr="001F52D3">
        <w:rPr>
          <w:w w:val="150"/>
        </w:rPr>
        <w:t>Umístění bez souhlasu a vážně míněný nesouhlas, (pro sociální pracovníky a opatrovníky na obci)</w:t>
      </w:r>
      <w:r w:rsidRPr="001F52D3">
        <w:rPr>
          <w:w w:val="150"/>
        </w:rPr>
        <w:t xml:space="preserve"> </w:t>
      </w:r>
      <w:r w:rsidR="00D06A7D" w:rsidRPr="00D06A7D">
        <w:rPr>
          <w:w w:val="150"/>
        </w:rPr>
        <w:t>– webinář</w:t>
      </w:r>
    </w:p>
    <w:p w14:paraId="4E55DE70" w14:textId="77777777" w:rsidR="001F52D3" w:rsidRDefault="001F52D3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0FC411F1" w14:textId="77777777" w:rsidR="001F52D3" w:rsidRDefault="001F52D3" w:rsidP="00E46A27">
      <w:pPr>
        <w:jc w:val="both"/>
      </w:pPr>
      <w:r>
        <w:t xml:space="preserve">Někdy je nutné poskytnout pomoc osobám, které již neví, co potřebují, příp. ví, co nechtějí a přestože trpí, neuvědomují si důsledky svého jednání (odmítání, neléčení se, osamění bez podpory). </w:t>
      </w:r>
    </w:p>
    <w:p w14:paraId="09B036D7" w14:textId="77777777" w:rsidR="001F52D3" w:rsidRDefault="001F52D3" w:rsidP="00E46A27">
      <w:pPr>
        <w:jc w:val="both"/>
      </w:pPr>
    </w:p>
    <w:p w14:paraId="48349B1D" w14:textId="77777777" w:rsidR="001F52D3" w:rsidRDefault="001F52D3" w:rsidP="00E46A27">
      <w:pPr>
        <w:jc w:val="both"/>
      </w:pPr>
      <w:r>
        <w:t xml:space="preserve">Sociální služba tak může být jako záruka pomoci, a to i proti vůli osoby. Tato záruka je ale jen kousíček od jejího protipólu (tzv. páchání dobra). </w:t>
      </w:r>
    </w:p>
    <w:p w14:paraId="2C2F5E47" w14:textId="77777777" w:rsidR="001F52D3" w:rsidRDefault="001F52D3" w:rsidP="00E46A27">
      <w:pPr>
        <w:jc w:val="both"/>
      </w:pPr>
    </w:p>
    <w:p w14:paraId="3040A2F5" w14:textId="77777777" w:rsidR="001F52D3" w:rsidRDefault="001F52D3" w:rsidP="00E46A27">
      <w:pPr>
        <w:jc w:val="both"/>
      </w:pPr>
      <w:r>
        <w:t xml:space="preserve">Vždy je nutné rozlišit, kdy je přednostní pomoci než respektovat právo sebedestrukce. Kdy a kdo musí dělat pojistky, aby nedocházelo k nadměrnému omezení svobody toho, kdo sice pomoc potřebuje, ale nechce ji, nebo ji není schopen přijmout. </w:t>
      </w:r>
    </w:p>
    <w:p w14:paraId="50C7E80D" w14:textId="77777777" w:rsidR="001F52D3" w:rsidRDefault="001F52D3" w:rsidP="00E46A27">
      <w:pPr>
        <w:jc w:val="both"/>
      </w:pPr>
    </w:p>
    <w:p w14:paraId="201E2BF1" w14:textId="77777777" w:rsidR="001F52D3" w:rsidRDefault="001F52D3" w:rsidP="00E46A27">
      <w:pPr>
        <w:jc w:val="both"/>
      </w:pPr>
      <w:r>
        <w:t xml:space="preserve">Je potřeba znát jaká jsou pravidla této pomoci při vstupu do služby a při opouštění ze služby. </w:t>
      </w:r>
    </w:p>
    <w:p w14:paraId="4FE20FD3" w14:textId="77777777" w:rsidR="001F52D3" w:rsidRDefault="001F52D3" w:rsidP="00E46A27">
      <w:pPr>
        <w:jc w:val="both"/>
      </w:pPr>
    </w:p>
    <w:p w14:paraId="2E85E1AD" w14:textId="77777777" w:rsidR="001F52D3" w:rsidRDefault="001F52D3" w:rsidP="00E46A27">
      <w:pPr>
        <w:jc w:val="both"/>
      </w:pPr>
      <w:r>
        <w:t xml:space="preserve">Jednotlivé role zúčastněných jsou různorodé. Je potřeba vědět, kdy a jak jedná pracovník služby, pracovník obce, opatrovník, státní zástupce, soudce, lékař. </w:t>
      </w:r>
    </w:p>
    <w:p w14:paraId="76D04920" w14:textId="77777777" w:rsidR="001F52D3" w:rsidRDefault="001F52D3" w:rsidP="00E46A27">
      <w:pPr>
        <w:jc w:val="both"/>
      </w:pPr>
    </w:p>
    <w:p w14:paraId="3828F5C9" w14:textId="612F8363" w:rsidR="00193E48" w:rsidRDefault="001F52D3" w:rsidP="00E46A27">
      <w:pPr>
        <w:jc w:val="both"/>
      </w:pPr>
      <w:r>
        <w:t>Umístění bez souhlasu, případně držení ve službě je na hraně trestního práva – omezení osobní svobody. V odůvodněných případech půjde o legální postup, ale musí být dodrženy přísná pravidla, aby nedocházelo k poškození nejslabší osoby – nemocného/opatrovance.</w:t>
      </w:r>
    </w:p>
    <w:p w14:paraId="166A02B4" w14:textId="77777777" w:rsidR="00193E48" w:rsidRDefault="00193E48" w:rsidP="00E46A27">
      <w:pPr>
        <w:jc w:val="both"/>
      </w:pPr>
    </w:p>
    <w:p w14:paraId="01E2A6ED" w14:textId="77777777" w:rsidR="001F52D3" w:rsidRDefault="001F52D3" w:rsidP="00E46A27">
      <w:pPr>
        <w:pStyle w:val="Styl2"/>
        <w:rPr>
          <w:rFonts w:eastAsia="Times New Roman"/>
        </w:rPr>
      </w:pPr>
      <w:bookmarkStart w:id="3" w:name="_Toc523076977"/>
    </w:p>
    <w:p w14:paraId="6F2A8C50" w14:textId="77777777" w:rsidR="001F52D3" w:rsidRDefault="001F52D3" w:rsidP="00E46A27">
      <w:pPr>
        <w:pStyle w:val="Styl2"/>
        <w:rPr>
          <w:rFonts w:eastAsia="Times New Roman"/>
        </w:rPr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6BAA9E2F" w14:textId="60B7AFDD" w:rsidR="00E46A27" w:rsidRPr="00DA69FE" w:rsidRDefault="001F52D3">
      <w:pPr>
        <w:spacing w:after="160" w:line="259" w:lineRule="auto"/>
      </w:pPr>
      <w:r>
        <w:t xml:space="preserve">Program si klade za cíl objasnit účastníkovi právní aspekty pomoci osobě, která tuto pomoc odmítá, není schopná ji přijímat, případně si o ni říci, ale přesto ji nutně potřebuje. Díky příkladům a výkladu bude pracovník schopen rozlišit přístupy, kdy je a kdy není možné pomáhat (i nuceně). Pracovník by měl po programu zvládnout i dokumentaci, která tato řešení provází (hlášení soudu, evidence, vyjádření). Pracovník sociálních služeb, pracovník obce, opatrovník (i veřejný) i pečující by měl být schopen rozlišit, kdy jde o souhlas, kdy jde o nesouhlas a co dělat ve chvílích, kdy není názor osoby znám/projevován. Měl by být schopen ještě více chránit zájmy slabší osoby, a to nejen po stránce sociální, ale i právní. </w:t>
      </w:r>
      <w:r w:rsidR="00E46A27" w:rsidRPr="00DA69FE">
        <w:br w:type="page"/>
      </w:r>
    </w:p>
    <w:p w14:paraId="25E57224" w14:textId="77777777" w:rsidR="00A21638" w:rsidRDefault="00A21638" w:rsidP="003C5E58">
      <w:pPr>
        <w:pStyle w:val="Styl2"/>
        <w:rPr>
          <w:rFonts w:eastAsia="Times New Roman"/>
        </w:rPr>
      </w:pPr>
    </w:p>
    <w:p w14:paraId="7345A320" w14:textId="77777777" w:rsidR="00A21638" w:rsidRDefault="00A21638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57FF2BF1" w14:textId="77777777" w:rsidR="00A21638" w:rsidRDefault="00A21638" w:rsidP="003C5E58">
      <w:pPr>
        <w:pStyle w:val="Styl2"/>
        <w:rPr>
          <w:rFonts w:eastAsia="Times New Roman"/>
        </w:rPr>
      </w:pPr>
      <w:bookmarkStart w:id="4" w:name="_GoBack"/>
      <w:bookmarkEnd w:id="4"/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2FC46AB6" w:rsidR="00DC3507" w:rsidRPr="001F52D3" w:rsidRDefault="001F52D3" w:rsidP="00905CEA">
            <w:pPr>
              <w:rPr>
                <w:b/>
              </w:rPr>
            </w:pPr>
            <w:r w:rsidRPr="001F52D3">
              <w:rPr>
                <w:b/>
              </w:rPr>
              <w:t>Rozdíl mezi svéprávností a schopností se rozhodovat</w:t>
            </w:r>
          </w:p>
        </w:tc>
        <w:tc>
          <w:tcPr>
            <w:tcW w:w="10709" w:type="dxa"/>
          </w:tcPr>
          <w:p w14:paraId="5BCA8919" w14:textId="4BA2A3F6" w:rsidR="00DC3507" w:rsidRPr="00BB7E9C" w:rsidRDefault="001F52D3" w:rsidP="00966FE0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rozdíl mezi schopností sjednat</w:t>
            </w:r>
            <w:r>
              <w:t xml:space="preserve"> a ukončit smlouvu osoby s rozumovou vyspělostí, svéprávností, bez svéprávnosti, omezené ve svéprávnosti, pod opatrovnictvím, bez opatrovníka, s plnou mocí, s rodinou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6382DBB9" w:rsidR="00DC3507" w:rsidRPr="00966FE0" w:rsidRDefault="001F52D3" w:rsidP="00DC3507">
            <w:pPr>
              <w:rPr>
                <w:b/>
              </w:rPr>
            </w:pPr>
            <w:r w:rsidRPr="001F52D3">
              <w:rPr>
                <w:b/>
              </w:rPr>
              <w:t>Přijetí do služby bez souhlasu</w:t>
            </w:r>
          </w:p>
        </w:tc>
        <w:tc>
          <w:tcPr>
            <w:tcW w:w="10709" w:type="dxa"/>
          </w:tcPr>
          <w:p w14:paraId="3D464D37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jak jednat s osobou, která službu potřebuje, ale nechce ji využívat </w:t>
            </w:r>
          </w:p>
          <w:p w14:paraId="5E423A5F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F52D3">
              <w:rPr>
                <w:b/>
                <w:color w:val="C00000"/>
                <w:sz w:val="22"/>
              </w:rPr>
              <w:t>jednání při přijetí do sociální služby, kdo za koho, kdy a co ujednává a podepisuje</w:t>
            </w:r>
            <w:r>
              <w:t xml:space="preserve"> </w:t>
            </w:r>
          </w:p>
          <w:p w14:paraId="2218B5DC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jaké pojistky je nutné učinit z pozice sociální služby, pracovníků obce s rozšířenou působností, opatrovníků, aby nebylo osobě ublíženo </w:t>
            </w:r>
          </w:p>
          <w:p w14:paraId="4340BD77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kdy je platná smlouva, a kdo si musí odpovědět "detenční" otázky </w:t>
            </w:r>
          </w:p>
          <w:p w14:paraId="02DEEFA0" w14:textId="25B14A22" w:rsidR="00DC3507" w:rsidRPr="000315A0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jaké podklady musí mít osoba, která podepisuje smlouvu za někoho, kdo už není schopen říci "ANO, chci službu"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0D465130" w:rsidR="00DC3507" w:rsidRPr="001F52D3" w:rsidRDefault="001F52D3" w:rsidP="00DC3507">
            <w:pPr>
              <w:rPr>
                <w:b/>
              </w:rPr>
            </w:pPr>
            <w:r w:rsidRPr="001F52D3">
              <w:rPr>
                <w:b/>
              </w:rPr>
              <w:t>Detence v sociálních službách – projevení vážně míněného nesouhlasu</w:t>
            </w:r>
          </w:p>
        </w:tc>
        <w:tc>
          <w:tcPr>
            <w:tcW w:w="10709" w:type="dxa"/>
          </w:tcPr>
          <w:p w14:paraId="0087A53E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jak poznat vážně míněný nesouhlas s pobytem ve službě </w:t>
            </w:r>
          </w:p>
          <w:p w14:paraId="2511A502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jak rozlišit nesouhlas a projev nemoci, „pruzení“, odpor, negaci </w:t>
            </w:r>
          </w:p>
          <w:p w14:paraId="4BFCF79D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role opatrovníka a rodiny při projevu nesouhlasu </w:t>
            </w:r>
          </w:p>
          <w:p w14:paraId="6DA68142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možnosti při projevení nesouhlasu </w:t>
            </w:r>
          </w:p>
          <w:p w14:paraId="3BF4ACC3" w14:textId="27B9B5F1" w:rsidR="00DC3507" w:rsidRPr="003D6442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co když osoba nemá po opuštění služby kam jít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63B285BD" w:rsidR="00DC3507" w:rsidRPr="001F52D3" w:rsidRDefault="001F52D3" w:rsidP="00DC3507">
            <w:pPr>
              <w:rPr>
                <w:b/>
              </w:rPr>
            </w:pPr>
            <w:r w:rsidRPr="001F52D3">
              <w:rPr>
                <w:b/>
              </w:rPr>
              <w:t>Řešení vážně míněného nesouhlasu</w:t>
            </w:r>
          </w:p>
        </w:tc>
        <w:tc>
          <w:tcPr>
            <w:tcW w:w="10709" w:type="dxa"/>
          </w:tcPr>
          <w:p w14:paraId="2092EC1A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rozdíly, když je osoba schopna jednat, když je pod opatrovnictvím a opatrovník chce/nechce situaci řešit, když zde není opatrovník </w:t>
            </w:r>
          </w:p>
          <w:p w14:paraId="6CC6F001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 může situaci řešit sám opatrovník, případně sám uživatel </w:t>
            </w:r>
          </w:p>
          <w:p w14:paraId="36844A0C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co hrozí rodině a opatrovníkovi při ne/řešení nesouhlasu</w:t>
            </w:r>
            <w:r>
              <w:t xml:space="preserve"> </w:t>
            </w:r>
          </w:p>
          <w:p w14:paraId="7EFD3A24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 situaci řešit v souladu se zákonem (z pozice sociální služby, pracovníků obce s rozšířenou působností, opatrovníků) </w:t>
            </w:r>
          </w:p>
          <w:p w14:paraId="4EFD9E96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jaká </w:t>
            </w:r>
            <w:r w:rsidRPr="001F52D3">
              <w:rPr>
                <w:b/>
                <w:color w:val="C00000"/>
                <w:sz w:val="22"/>
              </w:rPr>
              <w:t>je nutná dokumentace</w:t>
            </w:r>
            <w:r>
              <w:t xml:space="preserve">, evidence, k čemu nám může být užitečná </w:t>
            </w:r>
          </w:p>
          <w:p w14:paraId="5D5351DF" w14:textId="72B9C4E5" w:rsidR="00DC3507" w:rsidRPr="00D95548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postupy a praxe při řízení bez souhlasu (v sociální službě)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7B353270" w:rsidR="00DC3507" w:rsidRPr="001F52D3" w:rsidRDefault="001F52D3" w:rsidP="00652AE7">
            <w:pPr>
              <w:rPr>
                <w:b/>
              </w:rPr>
            </w:pPr>
            <w:r w:rsidRPr="001F52D3">
              <w:rPr>
                <w:b/>
              </w:rPr>
              <w:t>Oznámení soudu, metodika</w:t>
            </w:r>
          </w:p>
        </w:tc>
        <w:tc>
          <w:tcPr>
            <w:tcW w:w="10709" w:type="dxa"/>
          </w:tcPr>
          <w:p w14:paraId="6298EF83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od kdy běží lhůta (službě, soudu) </w:t>
            </w:r>
          </w:p>
          <w:p w14:paraId="5D40309D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co je podstatou oznámení, </w:t>
            </w:r>
            <w:r w:rsidRPr="001F52D3">
              <w:rPr>
                <w:b/>
                <w:color w:val="C00000"/>
                <w:sz w:val="22"/>
              </w:rPr>
              <w:t>jak případ popsat a jak dlouho vést evidenci</w:t>
            </w:r>
            <w:r>
              <w:t xml:space="preserve"> </w:t>
            </w:r>
          </w:p>
          <w:p w14:paraId="3ADA67E2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co a proč se musí oznamovat soudu, a co hrozí, když se soudu neoznámí </w:t>
            </w:r>
          </w:p>
          <w:p w14:paraId="0C003A62" w14:textId="77777777" w:rsidR="001F52D3" w:rsidRPr="001F52D3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může se k řízení vyjádřit i někdo jiný, než služba (uživatel, zástupce, opatrovník, rodina, ombudsman, státní zástupce) </w:t>
            </w:r>
          </w:p>
          <w:p w14:paraId="1175359C" w14:textId="7FCC86E8" w:rsidR="00DC3507" w:rsidRPr="00652AE7" w:rsidRDefault="001F52D3" w:rsidP="001F52D3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dostupná metodika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469B7BE" w:rsidR="008E2ED9" w:rsidRPr="001F52D3" w:rsidRDefault="001F52D3" w:rsidP="008E2ED9">
            <w:pPr>
              <w:rPr>
                <w:b/>
              </w:rPr>
            </w:pPr>
            <w:r w:rsidRPr="001F52D3">
              <w:rPr>
                <w:b/>
              </w:rPr>
              <w:t>Trestněprávní rovina</w:t>
            </w:r>
          </w:p>
        </w:tc>
        <w:tc>
          <w:tcPr>
            <w:tcW w:w="10709" w:type="dxa"/>
          </w:tcPr>
          <w:p w14:paraId="072B0A1B" w14:textId="77777777" w:rsidR="001F52D3" w:rsidRPr="001F52D3" w:rsidRDefault="001F52D3" w:rsidP="001F52D3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může být pracovník, opatrovník, rodinný příslušník, zařízení trestně stíhán/o </w:t>
            </w:r>
          </w:p>
          <w:p w14:paraId="6228611A" w14:textId="77777777" w:rsidR="001F52D3" w:rsidRPr="001F52D3" w:rsidRDefault="001F52D3" w:rsidP="001F52D3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jaká je odpovědnost zúčastněných </w:t>
            </w:r>
          </w:p>
          <w:p w14:paraId="3C0A0B50" w14:textId="4222160F" w:rsidR="008E2ED9" w:rsidRPr="00FB02AC" w:rsidRDefault="001F52D3" w:rsidP="001F52D3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kontrola ze strany státního zastupitelství</w:t>
            </w:r>
          </w:p>
        </w:tc>
      </w:tr>
      <w:tr w:rsidR="001F52D3" w:rsidRPr="000315A0" w14:paraId="42C04561" w14:textId="77777777" w:rsidTr="003C5E58">
        <w:trPr>
          <w:trHeight w:val="379"/>
        </w:trPr>
        <w:tc>
          <w:tcPr>
            <w:tcW w:w="4077" w:type="dxa"/>
          </w:tcPr>
          <w:p w14:paraId="607041D7" w14:textId="646B2DD5" w:rsidR="001F52D3" w:rsidRPr="001F52D3" w:rsidRDefault="001F52D3" w:rsidP="008E2ED9">
            <w:pPr>
              <w:rPr>
                <w:b/>
              </w:rPr>
            </w:pPr>
            <w:r w:rsidRPr="001F52D3">
              <w:rPr>
                <w:b/>
              </w:rPr>
              <w:lastRenderedPageBreak/>
              <w:t>Rozsudek soudu a opatření</w:t>
            </w:r>
          </w:p>
        </w:tc>
        <w:tc>
          <w:tcPr>
            <w:tcW w:w="10709" w:type="dxa"/>
          </w:tcPr>
          <w:p w14:paraId="00FC9089" w14:textId="77777777" w:rsidR="001F52D3" w:rsidRPr="001F52D3" w:rsidRDefault="001F52D3" w:rsidP="001F52D3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možnosti soudního rozhodnutí a přezkumu držení v zařízení </w:t>
            </w:r>
          </w:p>
          <w:p w14:paraId="38E70217" w14:textId="77777777" w:rsidR="001F52D3" w:rsidRPr="001F52D3" w:rsidRDefault="001F52D3" w:rsidP="001F52D3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jaké závěry soud může učinit, co z nich vyčíst a jak postupovat </w:t>
            </w:r>
          </w:p>
          <w:p w14:paraId="5E09CA2B" w14:textId="77777777" w:rsidR="001F52D3" w:rsidRPr="001F52D3" w:rsidRDefault="001F52D3" w:rsidP="001F52D3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A21638">
              <w:rPr>
                <w:b/>
                <w:color w:val="C00000"/>
                <w:sz w:val="22"/>
              </w:rPr>
              <w:t xml:space="preserve">příklady z praxe </w:t>
            </w:r>
          </w:p>
          <w:p w14:paraId="4D9AB28A" w14:textId="389DCCC8" w:rsidR="001F52D3" w:rsidRPr="00FB02AC" w:rsidRDefault="001F52D3" w:rsidP="001F52D3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A21638">
              <w:rPr>
                <w:b/>
                <w:color w:val="C00000"/>
                <w:sz w:val="22"/>
              </w:rPr>
              <w:t>co když nám rozhodnutí nevyhovuje</w:t>
            </w:r>
            <w:r>
              <w:t>, můžeme osobu pustit před zařízení a nechat ji tam (umřít, ohrozit zdraví, nepomoci, nedohlížet)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4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23"/>
  </w:num>
  <w:num w:numId="10">
    <w:abstractNumId w:val="33"/>
  </w:num>
  <w:num w:numId="11">
    <w:abstractNumId w:val="25"/>
  </w:num>
  <w:num w:numId="12">
    <w:abstractNumId w:val="28"/>
  </w:num>
  <w:num w:numId="13">
    <w:abstractNumId w:val="30"/>
  </w:num>
  <w:num w:numId="14">
    <w:abstractNumId w:val="10"/>
  </w:num>
  <w:num w:numId="15">
    <w:abstractNumId w:val="32"/>
  </w:num>
  <w:num w:numId="16">
    <w:abstractNumId w:val="38"/>
  </w:num>
  <w:num w:numId="17">
    <w:abstractNumId w:val="27"/>
  </w:num>
  <w:num w:numId="18">
    <w:abstractNumId w:val="21"/>
  </w:num>
  <w:num w:numId="19">
    <w:abstractNumId w:val="17"/>
  </w:num>
  <w:num w:numId="20">
    <w:abstractNumId w:val="11"/>
  </w:num>
  <w:num w:numId="21">
    <w:abstractNumId w:val="15"/>
  </w:num>
  <w:num w:numId="22">
    <w:abstractNumId w:val="36"/>
  </w:num>
  <w:num w:numId="23">
    <w:abstractNumId w:val="34"/>
  </w:num>
  <w:num w:numId="24">
    <w:abstractNumId w:val="31"/>
  </w:num>
  <w:num w:numId="25">
    <w:abstractNumId w:val="35"/>
  </w:num>
  <w:num w:numId="26">
    <w:abstractNumId w:val="22"/>
  </w:num>
  <w:num w:numId="27">
    <w:abstractNumId w:val="8"/>
  </w:num>
  <w:num w:numId="28">
    <w:abstractNumId w:val="7"/>
  </w:num>
  <w:num w:numId="29">
    <w:abstractNumId w:val="1"/>
  </w:num>
  <w:num w:numId="30">
    <w:abstractNumId w:val="14"/>
  </w:num>
  <w:num w:numId="31">
    <w:abstractNumId w:val="20"/>
  </w:num>
  <w:num w:numId="32">
    <w:abstractNumId w:val="19"/>
  </w:num>
  <w:num w:numId="33">
    <w:abstractNumId w:val="24"/>
  </w:num>
  <w:num w:numId="34">
    <w:abstractNumId w:val="39"/>
  </w:num>
  <w:num w:numId="35">
    <w:abstractNumId w:val="0"/>
  </w:num>
  <w:num w:numId="36">
    <w:abstractNumId w:val="6"/>
  </w:num>
  <w:num w:numId="37">
    <w:abstractNumId w:val="37"/>
  </w:num>
  <w:num w:numId="38">
    <w:abstractNumId w:val="13"/>
  </w:num>
  <w:num w:numId="39">
    <w:abstractNumId w:val="2"/>
  </w:num>
  <w:num w:numId="4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48C5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3E48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52D3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1398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66FE0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21638"/>
    <w:rsid w:val="00A342FB"/>
    <w:rsid w:val="00A34527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155D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A69FE"/>
    <w:rsid w:val="00DB08B4"/>
    <w:rsid w:val="00DB12BA"/>
    <w:rsid w:val="00DB23C7"/>
    <w:rsid w:val="00DC3507"/>
    <w:rsid w:val="00DE3968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https://www.socialniradce.cz/nahradni-plnen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alniradce.cz/prax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mailto:fakturace@socialnirad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ocialniradce.cz/akreditace/dluhy-osob-s-dusevnim-onemocnenim/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81B7-9F0D-4EC3-9A24-65138F3F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1576</Words>
  <Characters>9304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Helenka</cp:lastModifiedBy>
  <cp:revision>17</cp:revision>
  <cp:lastPrinted>2020-11-22T16:57:00Z</cp:lastPrinted>
  <dcterms:created xsi:type="dcterms:W3CDTF">2024-04-10T12:38:00Z</dcterms:created>
  <dcterms:modified xsi:type="dcterms:W3CDTF">2024-05-10T19:39:00Z</dcterms:modified>
</cp:coreProperties>
</file>