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1B21" w14:textId="2755AFAE" w:rsidR="000928FE" w:rsidRPr="002E6D0E" w:rsidRDefault="0035434B" w:rsidP="009802AE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7271F74B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3845D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802A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/2021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3845D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802AE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62CF5428" w:rsidR="008A660A" w:rsidRPr="002370CB" w:rsidRDefault="008A660A" w:rsidP="009802A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802AE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3845DB">
              <w:rPr>
                <w:rFonts w:asciiTheme="minorHAnsi" w:hAnsiTheme="minorHAnsi" w:cstheme="minorHAnsi"/>
                <w:sz w:val="20"/>
                <w:szCs w:val="20"/>
              </w:rPr>
              <w:t>, A2022/075</w:t>
            </w:r>
            <w:r w:rsidR="009802A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845DB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68FA5183" w:rsidR="006A5E3D" w:rsidRPr="009802AE" w:rsidRDefault="009802AE" w:rsidP="009802AE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</w:rPr>
            </w:pPr>
            <w:r w:rsidRPr="009802AE">
              <w:rPr>
                <w:rFonts w:asciiTheme="minorHAnsi" w:hAnsiTheme="minorHAnsi" w:cstheme="minorHAnsi"/>
                <w:bCs/>
              </w:rPr>
              <w:t>Specifika péče o osoby s omezenou svéprávností – webinář</w:t>
            </w:r>
            <w:r w:rsidR="003845DB" w:rsidRPr="003845D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7" w:type="pct"/>
            <w:vAlign w:val="center"/>
          </w:tcPr>
          <w:p w14:paraId="7FFE0824" w14:textId="77777777" w:rsidR="006A5E3D" w:rsidRDefault="009802AE" w:rsidP="003845DB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07.01.2025</w:t>
            </w:r>
          </w:p>
          <w:p w14:paraId="04112CB7" w14:textId="2D296007" w:rsidR="009802AE" w:rsidRPr="002370CB" w:rsidRDefault="009802AE" w:rsidP="003845DB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16.05.2025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4F8B46D6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6A08B3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6A08B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6A08B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6A08B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6A08B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6A08B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6A08B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6A08B3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6A08B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6A08B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6A08B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6A08B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71D40F8F" w:rsidR="00E46A27" w:rsidRDefault="009802AE" w:rsidP="00E46A27">
      <w:pPr>
        <w:pStyle w:val="Styl1"/>
        <w:rPr>
          <w:w w:val="150"/>
        </w:rPr>
      </w:pPr>
      <w:r w:rsidRPr="009802AE">
        <w:rPr>
          <w:w w:val="150"/>
        </w:rPr>
        <w:t>Specifika péče o osoby s omezenou svéprávností – webinář</w:t>
      </w:r>
    </w:p>
    <w:p w14:paraId="0D0BD037" w14:textId="77777777" w:rsidR="003845DB" w:rsidRDefault="003845DB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2" w:name="_Toc523076976"/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3E28F53C" w14:textId="77777777" w:rsidR="00CF7264" w:rsidRDefault="00CF7264" w:rsidP="00E46A27">
      <w:pPr>
        <w:jc w:val="both"/>
      </w:pPr>
      <w:r>
        <w:t xml:space="preserve">Při práci s osobami se zdravotním postižením, omezením svéprávnosti nebo jen pod opatrovnictvím vznikají navazující otázky, kdy nejen opatrovníci, ale i sociální pracovníci řeší například otázky práva volit a povinnosti ostatních pracovníků, opatrovníků jim toto právo zprostředkovat. </w:t>
      </w:r>
    </w:p>
    <w:p w14:paraId="04C01119" w14:textId="77777777" w:rsidR="00CF7264" w:rsidRDefault="00CF7264" w:rsidP="00E46A27">
      <w:pPr>
        <w:jc w:val="both"/>
      </w:pPr>
    </w:p>
    <w:p w14:paraId="575CA088" w14:textId="77777777" w:rsidR="00CF7264" w:rsidRDefault="00CF7264" w:rsidP="00E46A27">
      <w:pPr>
        <w:jc w:val="both"/>
      </w:pPr>
      <w:r>
        <w:t xml:space="preserve">V rámci práce s rodinami je často řešena situace, kdy se žena s omezenou svéprávností může stát matkou, ale nejsou vyjasněné postupy, jak je to s jejím rodičovstvím. Zpravidla s tím má starost nejen pracovník sociálního odboru, ale také sociální služby, kde matka pobývá, ale i pracovník sociálně-právní ochrany dítěte a v konečném důsledku i opatrovník matky. </w:t>
      </w:r>
    </w:p>
    <w:p w14:paraId="3F9EC7BB" w14:textId="77777777" w:rsidR="00CF7264" w:rsidRDefault="00CF7264" w:rsidP="00E46A27">
      <w:pPr>
        <w:jc w:val="both"/>
      </w:pPr>
    </w:p>
    <w:p w14:paraId="49612407" w14:textId="77777777" w:rsidR="00CF7264" w:rsidRDefault="00CF7264" w:rsidP="00E46A27">
      <w:pPr>
        <w:jc w:val="both"/>
      </w:pPr>
      <w:r>
        <w:t xml:space="preserve">Velmi často se prolíná sociální práce a opatrovnictví v každodenním životě a není vyjasněno, co kdo může dělat, za co odpovídá, jaké jsou možnosti a práva osob, které mají více, či méně omezenou svéprávnost. </w:t>
      </w:r>
    </w:p>
    <w:p w14:paraId="32AC162D" w14:textId="77777777" w:rsidR="00CF7264" w:rsidRDefault="00CF7264" w:rsidP="00E46A27">
      <w:pPr>
        <w:jc w:val="both"/>
      </w:pPr>
    </w:p>
    <w:p w14:paraId="0EDB8F39" w14:textId="77777777" w:rsidR="00CF7264" w:rsidRDefault="00CF7264" w:rsidP="00E46A27">
      <w:pPr>
        <w:jc w:val="both"/>
      </w:pPr>
      <w:r>
        <w:t xml:space="preserve">V mnohých případech sociální pracovníci brání uživatele před opatrovníkem, nebo opatrovník opatrovance před službou. A přestože by mělo docházet ke kooperaci a pomoci, mnohdy ani jedna strana neví, jaké je nejvhodnější řešení. Proto je potřeba si vysvětlit praktické otázky spojené s člověkem, který sám nemůže rozhodovat a buď pobývá v sociální službě, nebo žije ve svém sociálním prostředí. </w:t>
      </w:r>
    </w:p>
    <w:p w14:paraId="0C5A70BC" w14:textId="77777777" w:rsidR="00CF7264" w:rsidRDefault="00CF7264" w:rsidP="00E46A27">
      <w:pPr>
        <w:jc w:val="both"/>
      </w:pPr>
    </w:p>
    <w:p w14:paraId="589A7D7E" w14:textId="77777777" w:rsidR="00CF7264" w:rsidRDefault="00CF7264" w:rsidP="00E46A27">
      <w:pPr>
        <w:jc w:val="both"/>
      </w:pPr>
    </w:p>
    <w:p w14:paraId="04A387AF" w14:textId="77777777" w:rsidR="00CF7264" w:rsidRDefault="00CF7264" w:rsidP="00E46A27">
      <w:pPr>
        <w:jc w:val="both"/>
      </w:pPr>
    </w:p>
    <w:p w14:paraId="1098FE92" w14:textId="77777777" w:rsidR="00CF7264" w:rsidRDefault="00CF7264" w:rsidP="00E46A27">
      <w:pPr>
        <w:jc w:val="both"/>
      </w:pPr>
      <w:r w:rsidRPr="00CF7264">
        <w:rPr>
          <w:rFonts w:cs="Calibri"/>
          <w:b/>
          <w:color w:val="000000" w:themeColor="text1"/>
          <w:szCs w:val="26"/>
        </w:rPr>
        <w:t>CÍL AKREDITOVANÉHO VZDĚLÁVACÍHO PROGRAMU:</w:t>
      </w:r>
      <w:r>
        <w:t xml:space="preserve"> </w:t>
      </w:r>
    </w:p>
    <w:p w14:paraId="19B1E492" w14:textId="77777777" w:rsidR="00CF7264" w:rsidRDefault="00CF7264" w:rsidP="00E46A27">
      <w:pPr>
        <w:jc w:val="both"/>
      </w:pPr>
    </w:p>
    <w:p w14:paraId="600953DF" w14:textId="586AF124" w:rsidR="00122D76" w:rsidRDefault="00CF7264" w:rsidP="00E46A27">
      <w:pPr>
        <w:jc w:val="both"/>
        <w:rPr>
          <w:rFonts w:ascii="Open Sans" w:hAnsi="Open Sans"/>
          <w:color w:val="121212"/>
          <w:shd w:val="clear" w:color="auto" w:fill="FFFFFF"/>
        </w:rPr>
      </w:pPr>
      <w:r>
        <w:t>Účastník programu by měl získat dostatek informací, aby si v rámci profesní péče o osobu s omezenou svéprávností (u výkonu veřejného opatrovnictví na obci) byl schopen „najít své místo“ v účinné pomoci. Měl by být schopen osobě napomáhat i v tradičních a méně tradičních záležitostech jejího života. Aneb – měl by umět řešit, co život přináší. Opatrovník na obci by měl být profesionálem a měl by být schopen účinné spolupráce s pracovníky ostatních profesí, kteří se pohybují kolem opatrovance, aby byla zajištěna profesionální péče o osobu s omezenou svéprávností, která již není schopna svá práva a povinnosti plnit samostatně.</w:t>
      </w:r>
    </w:p>
    <w:p w14:paraId="2340C5D6" w14:textId="77777777" w:rsidR="00122D76" w:rsidRDefault="00122D76" w:rsidP="00E46A27">
      <w:pPr>
        <w:jc w:val="both"/>
      </w:pPr>
    </w:p>
    <w:p w14:paraId="193F783E" w14:textId="77777777" w:rsidR="003845DB" w:rsidRDefault="003845DB" w:rsidP="00E46A27">
      <w:pPr>
        <w:jc w:val="both"/>
      </w:pPr>
    </w:p>
    <w:p w14:paraId="32F4A715" w14:textId="77777777" w:rsidR="003845DB" w:rsidRDefault="003845DB" w:rsidP="00E46A27">
      <w:pPr>
        <w:jc w:val="both"/>
      </w:pPr>
    </w:p>
    <w:p w14:paraId="6EBAB22F" w14:textId="77777777" w:rsidR="003845DB" w:rsidRDefault="003845DB" w:rsidP="00E46A27">
      <w:pPr>
        <w:jc w:val="both"/>
      </w:pPr>
    </w:p>
    <w:p w14:paraId="0B52A1F3" w14:textId="77777777" w:rsidR="003845DB" w:rsidRDefault="003845DB" w:rsidP="00E46A27">
      <w:pPr>
        <w:jc w:val="both"/>
      </w:pPr>
    </w:p>
    <w:p w14:paraId="7C1B97E7" w14:textId="77777777" w:rsidR="003845DB" w:rsidRDefault="003845DB" w:rsidP="00E46A27">
      <w:pPr>
        <w:jc w:val="both"/>
      </w:pPr>
    </w:p>
    <w:p w14:paraId="56AD0A29" w14:textId="77777777" w:rsidR="006A08B3" w:rsidRDefault="006A08B3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  <w:bookmarkStart w:id="3" w:name="_GoBack"/>
      <w:bookmarkEnd w:id="3"/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3D9B7FDA" w14:textId="77777777" w:rsidTr="003C5E58">
        <w:tc>
          <w:tcPr>
            <w:tcW w:w="4077" w:type="dxa"/>
          </w:tcPr>
          <w:p w14:paraId="3B0E0913" w14:textId="523769EF" w:rsidR="00DC3507" w:rsidRPr="00A06317" w:rsidRDefault="00A06317" w:rsidP="00DC3507">
            <w:pPr>
              <w:rPr>
                <w:b/>
              </w:rPr>
            </w:pPr>
            <w:r w:rsidRPr="00A06317">
              <w:rPr>
                <w:b/>
              </w:rPr>
              <w:t>Občanský průkaz a osobní doklady</w:t>
            </w:r>
          </w:p>
        </w:tc>
        <w:tc>
          <w:tcPr>
            <w:tcW w:w="10709" w:type="dxa"/>
          </w:tcPr>
          <w:p w14:paraId="00387813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získání, </w:t>
            </w:r>
            <w:r w:rsidRPr="00A06317">
              <w:rPr>
                <w:b/>
                <w:color w:val="C00000"/>
                <w:sz w:val="22"/>
              </w:rPr>
              <w:t>povinnost držení</w:t>
            </w:r>
            <w:r>
              <w:t xml:space="preserve">, prokázání totožnosti </w:t>
            </w:r>
          </w:p>
          <w:p w14:paraId="4D3E42A6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ochrana, </w:t>
            </w:r>
            <w:r w:rsidRPr="00A06317">
              <w:rPr>
                <w:b/>
                <w:color w:val="C00000"/>
                <w:sz w:val="22"/>
              </w:rPr>
              <w:t xml:space="preserve">uložení </w:t>
            </w:r>
          </w:p>
          <w:p w14:paraId="02DEEFA0" w14:textId="688FCA78" w:rsidR="00DC3507" w:rsidRPr="000315A0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zneužití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13043248" w:rsidR="00DC3507" w:rsidRPr="00A06317" w:rsidRDefault="00A06317" w:rsidP="00DC3507">
            <w:pPr>
              <w:rPr>
                <w:b/>
              </w:rPr>
            </w:pPr>
            <w:r w:rsidRPr="00A06317">
              <w:rPr>
                <w:b/>
              </w:rPr>
              <w:t>Volební právo</w:t>
            </w:r>
          </w:p>
        </w:tc>
        <w:tc>
          <w:tcPr>
            <w:tcW w:w="10709" w:type="dxa"/>
          </w:tcPr>
          <w:p w14:paraId="0E57383D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právo volit </w:t>
            </w:r>
          </w:p>
          <w:p w14:paraId="705CA64C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právo být volen </w:t>
            </w:r>
          </w:p>
          <w:p w14:paraId="3BF4ACC3" w14:textId="2D64AC6B" w:rsidR="00DC3507" w:rsidRPr="003D6442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A06317">
              <w:rPr>
                <w:b/>
                <w:color w:val="C00000"/>
                <w:sz w:val="22"/>
              </w:rPr>
              <w:t>povinnost zajistit průkaz totožnosti,</w:t>
            </w:r>
            <w:r>
              <w:t xml:space="preserve"> voličský průkaz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3CC0F108" w:rsidR="00DC3507" w:rsidRPr="00A06317" w:rsidRDefault="00A06317" w:rsidP="00DC3507">
            <w:pPr>
              <w:rPr>
                <w:b/>
              </w:rPr>
            </w:pPr>
            <w:r w:rsidRPr="00A06317">
              <w:rPr>
                <w:b/>
              </w:rPr>
              <w:t>Manželství a rodičovství</w:t>
            </w:r>
          </w:p>
        </w:tc>
        <w:tc>
          <w:tcPr>
            <w:tcW w:w="10709" w:type="dxa"/>
          </w:tcPr>
          <w:p w14:paraId="184A6CFC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antikoncepce (formy aplikace), početí, </w:t>
            </w:r>
            <w:r w:rsidRPr="00A06317">
              <w:rPr>
                <w:b/>
                <w:color w:val="C00000"/>
                <w:sz w:val="22"/>
              </w:rPr>
              <w:t xml:space="preserve">práva těhotné, určení otcovství </w:t>
            </w:r>
          </w:p>
          <w:p w14:paraId="0DC0B8B5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rodičovská odpovědnost, vyživovací povinnost</w:t>
            </w:r>
          </w:p>
          <w:p w14:paraId="7DB3F8C8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A06317">
              <w:rPr>
                <w:b/>
                <w:color w:val="C00000"/>
                <w:sz w:val="22"/>
              </w:rPr>
              <w:t>právo dítěte vs. právo matky</w:t>
            </w:r>
            <w:r>
              <w:t xml:space="preserve"> (v rámci výkonu sociální práce na obci a opatrovnictví) </w:t>
            </w:r>
          </w:p>
          <w:p w14:paraId="5B5B5A23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manželství kdy ano, kdy ne; práva a povinnosti v manželství </w:t>
            </w:r>
          </w:p>
          <w:p w14:paraId="00ECA7BC" w14:textId="77777777" w:rsidR="00A06317" w:rsidRPr="00A06317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rozvod </w:t>
            </w:r>
          </w:p>
          <w:p w14:paraId="5D5351DF" w14:textId="11EB7A71" w:rsidR="00DC3507" w:rsidRPr="00D95548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společné jmění manželů (zneužití pro tvorbu dluhů bez vědomí druhého, na jméno druhého)</w:t>
            </w:r>
          </w:p>
        </w:tc>
      </w:tr>
      <w:tr w:rsidR="006329AA" w:rsidRPr="000315A0" w14:paraId="72B9F0A1" w14:textId="77777777" w:rsidTr="003C5E58">
        <w:trPr>
          <w:trHeight w:val="379"/>
        </w:trPr>
        <w:tc>
          <w:tcPr>
            <w:tcW w:w="4077" w:type="dxa"/>
          </w:tcPr>
          <w:p w14:paraId="717BDA28" w14:textId="5AB3AEA6" w:rsidR="006329AA" w:rsidRPr="00A06317" w:rsidRDefault="00A06317" w:rsidP="00652AE7">
            <w:pPr>
              <w:rPr>
                <w:b/>
              </w:rPr>
            </w:pPr>
            <w:r w:rsidRPr="00A06317">
              <w:rPr>
                <w:b/>
              </w:rPr>
              <w:t>Úmrtí a dědictví</w:t>
            </w:r>
          </w:p>
        </w:tc>
        <w:tc>
          <w:tcPr>
            <w:tcW w:w="10709" w:type="dxa"/>
          </w:tcPr>
          <w:p w14:paraId="4480173B" w14:textId="77777777" w:rsidR="00A06317" w:rsidRPr="006A08B3" w:rsidRDefault="00A06317" w:rsidP="00A06317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>právo závěti a odkazu, vydědění</w:t>
            </w:r>
          </w:p>
          <w:p w14:paraId="00AEFF9C" w14:textId="77777777" w:rsidR="006A08B3" w:rsidRPr="006A08B3" w:rsidRDefault="00A06317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právo dědit, výhrada soupisu majetku </w:t>
            </w:r>
          </w:p>
          <w:p w14:paraId="0B015876" w14:textId="77777777" w:rsidR="006A08B3" w:rsidRPr="006A08B3" w:rsidRDefault="00A06317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právo odmítnout dědictví </w:t>
            </w:r>
          </w:p>
          <w:p w14:paraId="11C0A5E8" w14:textId="77777777" w:rsidR="006A08B3" w:rsidRPr="006A08B3" w:rsidRDefault="00A06317" w:rsidP="006A08B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>postup opatrovníka (příp. v návaznosti na úmrtí v sociální službě) po smrti opatrovance</w:t>
            </w:r>
          </w:p>
          <w:p w14:paraId="00F4899B" w14:textId="77777777" w:rsidR="006A08B3" w:rsidRPr="006A08B3" w:rsidRDefault="00A06317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pohřeb, náklady a kvalita pohřbu, naplnění přání zemřelého </w:t>
            </w:r>
          </w:p>
          <w:p w14:paraId="376D2F3C" w14:textId="404FADFD" w:rsidR="006329AA" w:rsidRPr="00652AE7" w:rsidRDefault="00A06317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finanční prostředky na účtu třetí osoby (např. obce), jak s nimi nakládat (vypravení pohřbu, neoprávněně přijatý důchod – povinnost vrácení)</w:t>
            </w:r>
          </w:p>
        </w:tc>
      </w:tr>
      <w:tr w:rsidR="00A06317" w:rsidRPr="000315A0" w14:paraId="56891A06" w14:textId="77777777" w:rsidTr="003C5E58">
        <w:trPr>
          <w:trHeight w:val="379"/>
        </w:trPr>
        <w:tc>
          <w:tcPr>
            <w:tcW w:w="4077" w:type="dxa"/>
          </w:tcPr>
          <w:p w14:paraId="6833D40A" w14:textId="4F58A080" w:rsidR="00A06317" w:rsidRPr="006A08B3" w:rsidRDefault="006A08B3" w:rsidP="00652AE7">
            <w:pPr>
              <w:rPr>
                <w:b/>
              </w:rPr>
            </w:pPr>
            <w:r w:rsidRPr="006A08B3">
              <w:rPr>
                <w:b/>
              </w:rPr>
              <w:t>Spis a výkaznictví</w:t>
            </w:r>
          </w:p>
        </w:tc>
        <w:tc>
          <w:tcPr>
            <w:tcW w:w="10709" w:type="dxa"/>
          </w:tcPr>
          <w:p w14:paraId="2FAC2128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náležitosti opatrovnického spisu </w:t>
            </w:r>
          </w:p>
          <w:p w14:paraId="554460E3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zpráva opatrovníka k soudu </w:t>
            </w:r>
          </w:p>
          <w:p w14:paraId="7E961A46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 xml:space="preserve">příkazní smlouva ve vztahu sociálních službách (závazek opatrovníka) </w:t>
            </w:r>
          </w:p>
          <w:p w14:paraId="25297912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vykazování služby opatrovníkovi, opatrovník službě </w:t>
            </w:r>
          </w:p>
          <w:p w14:paraId="275A8410" w14:textId="43166787" w:rsidR="00A0631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povinnost revidování uzavřených smluv před opatrovnictvím, bez nutnosti jejich zrušení a znovuuzavření</w:t>
            </w:r>
          </w:p>
        </w:tc>
      </w:tr>
      <w:tr w:rsidR="00A06317" w:rsidRPr="000315A0" w14:paraId="415A1F67" w14:textId="77777777" w:rsidTr="003C5E58">
        <w:trPr>
          <w:trHeight w:val="379"/>
        </w:trPr>
        <w:tc>
          <w:tcPr>
            <w:tcW w:w="4077" w:type="dxa"/>
          </w:tcPr>
          <w:p w14:paraId="504F6849" w14:textId="4FAB48EE" w:rsidR="00A06317" w:rsidRPr="006A08B3" w:rsidRDefault="006A08B3" w:rsidP="00652AE7">
            <w:pPr>
              <w:rPr>
                <w:b/>
              </w:rPr>
            </w:pPr>
            <w:r w:rsidRPr="006A08B3">
              <w:rPr>
                <w:b/>
              </w:rPr>
              <w:t>Informace, osobní údaje</w:t>
            </w:r>
          </w:p>
        </w:tc>
        <w:tc>
          <w:tcPr>
            <w:tcW w:w="10709" w:type="dxa"/>
          </w:tcPr>
          <w:p w14:paraId="0973BFDD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nahlížení do spisu; informování rodiny, přátel </w:t>
            </w:r>
          </w:p>
          <w:p w14:paraId="116095A9" w14:textId="38943463" w:rsidR="00A0631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spolupráce – předávání informací</w:t>
            </w:r>
          </w:p>
        </w:tc>
      </w:tr>
      <w:tr w:rsidR="00A06317" w:rsidRPr="000315A0" w14:paraId="55E2706D" w14:textId="77777777" w:rsidTr="003C5E58">
        <w:trPr>
          <w:trHeight w:val="379"/>
        </w:trPr>
        <w:tc>
          <w:tcPr>
            <w:tcW w:w="4077" w:type="dxa"/>
          </w:tcPr>
          <w:p w14:paraId="5727A7D1" w14:textId="5F924DC9" w:rsidR="00A06317" w:rsidRPr="006A08B3" w:rsidRDefault="006A08B3" w:rsidP="00652AE7">
            <w:pPr>
              <w:rPr>
                <w:b/>
              </w:rPr>
            </w:pPr>
            <w:r w:rsidRPr="006A08B3">
              <w:rPr>
                <w:b/>
              </w:rPr>
              <w:t>Povinnosti dalších subjektů</w:t>
            </w:r>
          </w:p>
        </w:tc>
        <w:tc>
          <w:tcPr>
            <w:tcW w:w="10709" w:type="dxa"/>
          </w:tcPr>
          <w:p w14:paraId="1EC3D286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 xml:space="preserve">musí právník na obci pomáhat s činností pro opatrovance </w:t>
            </w:r>
          </w:p>
          <w:p w14:paraId="275DD5DE" w14:textId="59703406" w:rsidR="00A0631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oprávnění účetní při správě opatrovancova jmění</w:t>
            </w:r>
          </w:p>
        </w:tc>
      </w:tr>
      <w:tr w:rsidR="00A06317" w:rsidRPr="000315A0" w14:paraId="57223ECF" w14:textId="77777777" w:rsidTr="003C5E58">
        <w:trPr>
          <w:trHeight w:val="379"/>
        </w:trPr>
        <w:tc>
          <w:tcPr>
            <w:tcW w:w="4077" w:type="dxa"/>
          </w:tcPr>
          <w:p w14:paraId="50873060" w14:textId="496953EE" w:rsidR="00A06317" w:rsidRPr="006A08B3" w:rsidRDefault="006A08B3" w:rsidP="00652AE7">
            <w:pPr>
              <w:rPr>
                <w:b/>
              </w:rPr>
            </w:pPr>
            <w:r w:rsidRPr="006A08B3">
              <w:rPr>
                <w:b/>
              </w:rPr>
              <w:t>Bydliště</w:t>
            </w:r>
          </w:p>
        </w:tc>
        <w:tc>
          <w:tcPr>
            <w:tcW w:w="10709" w:type="dxa"/>
          </w:tcPr>
          <w:p w14:paraId="4A92F6B1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změna a schvalování změny </w:t>
            </w:r>
          </w:p>
          <w:p w14:paraId="6759B23F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 xml:space="preserve">bydliště vs. trvalý pobyt </w:t>
            </w:r>
          </w:p>
          <w:p w14:paraId="6D57AA04" w14:textId="7717F8C5" w:rsidR="00A0631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práva plynoucí z bydliště (poplatky, osvobození, místní příslušnost pro dávky)</w:t>
            </w:r>
          </w:p>
        </w:tc>
      </w:tr>
      <w:tr w:rsidR="00A06317" w:rsidRPr="000315A0" w14:paraId="6D1A20FA" w14:textId="77777777" w:rsidTr="003C5E58">
        <w:trPr>
          <w:trHeight w:val="379"/>
        </w:trPr>
        <w:tc>
          <w:tcPr>
            <w:tcW w:w="4077" w:type="dxa"/>
          </w:tcPr>
          <w:p w14:paraId="320D86C1" w14:textId="7F41FD58" w:rsidR="00A06317" w:rsidRPr="006329AA" w:rsidRDefault="006A08B3" w:rsidP="006A08B3">
            <w:pPr>
              <w:rPr>
                <w:b/>
              </w:rPr>
            </w:pPr>
            <w:r w:rsidRPr="006A08B3">
              <w:rPr>
                <w:b/>
              </w:rPr>
              <w:t>Působnost v opatrovnictví</w:t>
            </w:r>
            <w:r>
              <w:t xml:space="preserve"> </w:t>
            </w:r>
          </w:p>
        </w:tc>
        <w:tc>
          <w:tcPr>
            <w:tcW w:w="10709" w:type="dxa"/>
          </w:tcPr>
          <w:p w14:paraId="1BC956AA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pravidla pověření výkonem veřejného opatrovnictví (podle zájmů opatrovance, bydliště, trvalý pobyt), přání opatrovance a jeho vliv na výběr veřejného opatrovníka </w:t>
            </w:r>
          </w:p>
          <w:p w14:paraId="4BF7663D" w14:textId="160E84F0" w:rsidR="00A0631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přesun veřejného opatrovnictví, veřejnoprávní smlouva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683A0DE5" w:rsidR="00DC3507" w:rsidRPr="006A08B3" w:rsidRDefault="006A08B3" w:rsidP="00652AE7">
            <w:pPr>
              <w:rPr>
                <w:b/>
              </w:rPr>
            </w:pPr>
            <w:r w:rsidRPr="006A08B3">
              <w:rPr>
                <w:b/>
              </w:rPr>
              <w:lastRenderedPageBreak/>
              <w:t>Pravomoci a omezení opatrovníka, opatrovance</w:t>
            </w:r>
          </w:p>
        </w:tc>
        <w:tc>
          <w:tcPr>
            <w:tcW w:w="10709" w:type="dxa"/>
          </w:tcPr>
          <w:p w14:paraId="0B847D35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samostatné jednání opatrovance </w:t>
            </w:r>
          </w:p>
          <w:p w14:paraId="79545106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samostatné jednání opatrovníka </w:t>
            </w:r>
          </w:p>
          <w:p w14:paraId="5CD7D6A0" w14:textId="77777777" w:rsidR="006A08B3" w:rsidRPr="006A08B3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jednání opatrovníka se souhlasem opatrovnické rady</w:t>
            </w:r>
          </w:p>
          <w:p w14:paraId="1175359C" w14:textId="5F518D77" w:rsidR="00DC3507" w:rsidRPr="00652AE7" w:rsidRDefault="006A08B3" w:rsidP="006A08B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6A08B3">
              <w:rPr>
                <w:b/>
                <w:color w:val="C00000"/>
                <w:sz w:val="22"/>
              </w:rPr>
              <w:t>jednání opatrovníka se souhlasem soudu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845DB"/>
    <w:rsid w:val="00396F7B"/>
    <w:rsid w:val="003A0FED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29AA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08B3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02AE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06317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CF7264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B3FA-076E-48E4-AB1A-752117DC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1529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11</cp:revision>
  <cp:lastPrinted>2020-11-22T16:57:00Z</cp:lastPrinted>
  <dcterms:created xsi:type="dcterms:W3CDTF">2024-04-10T12:38:00Z</dcterms:created>
  <dcterms:modified xsi:type="dcterms:W3CDTF">2024-05-10T10:35:00Z</dcterms:modified>
</cp:coreProperties>
</file>