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link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3046416D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744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447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08562E5E" w:rsidR="008A660A" w:rsidRPr="002370CB" w:rsidRDefault="008A660A" w:rsidP="001606C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51DF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237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-SP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, A202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606C5">
              <w:rPr>
                <w:rFonts w:asciiTheme="minorHAnsi" w:hAnsiTheme="minorHAnsi" w:cstheme="minorHAnsi"/>
                <w:sz w:val="20"/>
                <w:szCs w:val="20"/>
              </w:rPr>
              <w:t>1242</w:t>
            </w:r>
            <w:r w:rsidR="00D06A7D"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731E8DD7" w:rsidR="006A5E3D" w:rsidRPr="00EE1943" w:rsidRDefault="001606C5" w:rsidP="001606C5">
            <w:pPr>
              <w:pStyle w:val="ListParagraph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1606C5">
              <w:rPr>
                <w:rFonts w:asciiTheme="minorHAnsi" w:hAnsiTheme="minorHAnsi" w:cstheme="minorHAnsi"/>
                <w:bCs/>
              </w:rPr>
              <w:t>Základní lidská práva a svobody osob v sociální práci – standard č. 2 (omezování klientů v pravidlech služby, podmínkách pro vstup do zařízení, chování služby v rozporu s právy uživatele) – webinář</w:t>
            </w:r>
            <w:r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6BC60DAD" w:rsidR="00D06A7D" w:rsidRPr="002370CB" w:rsidRDefault="001606C5" w:rsidP="00251DF2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09.01.2025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606C5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9" w:history="1">
        <w:r w:rsidR="00154BED" w:rsidRPr="00154BED">
          <w:rPr>
            <w:rStyle w:val="Hyperlink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1606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1606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1606C5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1606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1606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1606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1606C5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1606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1606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1606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1606C5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1606C5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1606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1606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1606C5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1606C5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ListParagraph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0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1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2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3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1606C5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1606C5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1606C5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1606C5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1606C5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al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6258B3C5" w:rsidR="00E46A27" w:rsidRDefault="001606C5" w:rsidP="00E46A27">
      <w:pPr>
        <w:pStyle w:val="Styl1"/>
        <w:rPr>
          <w:w w:val="150"/>
        </w:rPr>
      </w:pPr>
      <w:r w:rsidRPr="001606C5">
        <w:rPr>
          <w:w w:val="150"/>
        </w:rPr>
        <w:t>ZÁKLADNÍ LIDSKÁ PRÁVA A SVOBODY OSOB v sociální práci – standard č. 2 (omezování klientů v pravidlech služby, podmínkách pro vstup do zařízení, chování služby v rozporu s právy uživatele)</w:t>
      </w:r>
      <w:r w:rsidR="00251DF2" w:rsidRPr="00251DF2">
        <w:rPr>
          <w:w w:val="150"/>
        </w:rPr>
        <w:t xml:space="preserve"> </w:t>
      </w:r>
      <w:r w:rsidR="00D06A7D" w:rsidRPr="00D06A7D">
        <w:rPr>
          <w:w w:val="150"/>
        </w:rPr>
        <w:t>– webinář</w:t>
      </w:r>
    </w:p>
    <w:p w14:paraId="0E089F11" w14:textId="77777777" w:rsidR="001606C5" w:rsidRDefault="001606C5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1C678376" w14:textId="77777777" w:rsidR="001606C5" w:rsidRDefault="001606C5" w:rsidP="00E46A27">
      <w:pPr>
        <w:jc w:val="both"/>
      </w:pPr>
      <w:r>
        <w:t xml:space="preserve">Osoby, které jsou klienty sociální práce (ať už při provádění sociální práce na obecním úřadu, nebo v sociálních službách) jsou osobami s nižší schopností obhajovat svá vlastní práva samostatně a vymáhat si své nároky. Často jde o osoby s duševním nebo mentálním postižením, vážným tělesných hendikepem, nebo jsou na pomezí chudoby, případně jsou příliš mladé nebo příliš staré. Ačkoliv není možné v sociální práci osoby znevýhodňovat, je třeba jim v co nejvyšší míře nechat zachované jejich kompetence a odpovědnost přiměřeně právě jejich věku, zdravotnímu stavu, schopnostem a vlastnostem. Sociální pracovník má osobu vyvádět z nepříznivé sociální situace a nemá zvyšovat závislost na své osobě nebo na službě, kterou poskytuje. Toto lze činit respektujícími metodami a s plnou znalostí základních práv a svobod. Je to právě sociální pracovník, který má být na výši a zvládnout kombinovat metody sociální práce vedoucí k naplňování stanovovaných cílů, které podporují osobu (klienta) sociální práce. </w:t>
      </w:r>
    </w:p>
    <w:p w14:paraId="6EDD28EE" w14:textId="77777777" w:rsidR="001606C5" w:rsidRDefault="001606C5" w:rsidP="00E46A27">
      <w:pPr>
        <w:jc w:val="both"/>
      </w:pPr>
    </w:p>
    <w:p w14:paraId="5EC4CFDC" w14:textId="4A2B0149" w:rsidR="00251DF2" w:rsidRDefault="001606C5" w:rsidP="00E46A27">
      <w:pPr>
        <w:jc w:val="both"/>
      </w:pPr>
      <w:r>
        <w:t>Bohužel často dochází k situacím, kdy bez znalosti práv a povinností, základních práv a svobod, dochází k ještě větší sociální deprivaci. Např. na místo podpory osoby, pracovník za něj věci udělá, a ještě je degradujícím způsobem okomentuje s poukázáním na neschopnost klienta. Zdánlivě to pak vypadá dobře, klient je zaopatřený, ale základní práva klienta byla pošlapána osobou, která měla být erudovaná, citlivá a nejvíc ho měla podporovat. To vše se děje v tichosti, protože klient ve slabším postavení si nedokáže stěžovat a dostává se tak do nežádoucího područí sociální práce.</w:t>
      </w:r>
    </w:p>
    <w:p w14:paraId="126921F9" w14:textId="77777777" w:rsidR="001606C5" w:rsidRDefault="001606C5" w:rsidP="00E46A27">
      <w:pPr>
        <w:jc w:val="both"/>
      </w:pPr>
    </w:p>
    <w:p w14:paraId="664912EA" w14:textId="77777777" w:rsidR="001606C5" w:rsidRDefault="001606C5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6BAA9E2F" w14:textId="0BE93E53" w:rsidR="00E46A27" w:rsidRDefault="001606C5">
      <w:pPr>
        <w:spacing w:after="160" w:line="259" w:lineRule="auto"/>
      </w:pPr>
      <w:r>
        <w:t>Tímto vzděláváním si klademe za cíl poukázat na hodnoty sociální práce, na rizikové případy, na možnosti předcházení takovýmto situacím. Vysvětlením, které práva mohou být snadno porušovány a jak vnímat práva osob se snažíme zkvalitnit sociální práci a přístupy v sociální práci. Absolvent programu by měl být schopen věcně analyzovat situaci uživatele, a na základě provedené analýzy a nabytých znalostí nalézt efektivní řešení tíživé situace klienta a nedopouštět se přitom pošlapávání jeho základních práv a svobod. Pokud by k tomuto došlo, měl by být absolvent schopen si toto alespoň uvědomit. Další práce, aby k situacím nedocházelo není jen věcí právní, ale i osobnostní. Do osobnostních kvalit absolventa však nelze tímto vzděláváním jednoduše zasáhnout, proto si toto neklademe za cíl (i když věříme, že ovlivníme alespoň u vedoucích pracovníků výběr kompetentních podřízených).</w:t>
      </w:r>
      <w:r w:rsidR="00E46A27">
        <w:br w:type="page"/>
      </w:r>
    </w:p>
    <w:p w14:paraId="7BCB0964" w14:textId="77777777" w:rsidR="001606C5" w:rsidRDefault="001606C5" w:rsidP="003C5E58">
      <w:pPr>
        <w:pStyle w:val="Styl2"/>
        <w:rPr>
          <w:rFonts w:eastAsia="Times New Roman"/>
        </w:rPr>
      </w:pPr>
    </w:p>
    <w:p w14:paraId="6FE93799" w14:textId="77777777" w:rsidR="001606C5" w:rsidRDefault="001606C5" w:rsidP="003C5E58">
      <w:pPr>
        <w:pStyle w:val="Styl2"/>
        <w:rPr>
          <w:rFonts w:eastAsia="Times New Roman"/>
        </w:rPr>
      </w:pP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bookmarkStart w:id="4" w:name="_GoBack"/>
      <w:bookmarkEnd w:id="4"/>
      <w:r w:rsidRPr="00D77559">
        <w:rPr>
          <w:rFonts w:eastAsia="Times New Roman"/>
        </w:rPr>
        <w:t>NÁPLŇ:</w:t>
      </w:r>
    </w:p>
    <w:p w14:paraId="373446B4" w14:textId="77777777" w:rsidR="001606C5" w:rsidRDefault="001606C5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0E84AB02" w:rsidR="00DC3507" w:rsidRPr="001606C5" w:rsidRDefault="001606C5" w:rsidP="00905CEA">
            <w:pPr>
              <w:rPr>
                <w:b/>
              </w:rPr>
            </w:pPr>
            <w:r w:rsidRPr="001606C5">
              <w:rPr>
                <w:b/>
              </w:rPr>
              <w:t>Základní zásady a principy</w:t>
            </w:r>
          </w:p>
        </w:tc>
        <w:tc>
          <w:tcPr>
            <w:tcW w:w="10709" w:type="dxa"/>
          </w:tcPr>
          <w:p w14:paraId="478D809D" w14:textId="77777777" w:rsidR="001606C5" w:rsidRPr="001606C5" w:rsidRDefault="001606C5" w:rsidP="001606C5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seznámení se s právními podklady (především ústavními zákony, Úmluvami a občanským zákoníkem) </w:t>
            </w:r>
          </w:p>
          <w:p w14:paraId="5BCA8919" w14:textId="1A8BE8BF" w:rsidR="00DC3507" w:rsidRPr="00251DF2" w:rsidRDefault="001606C5" w:rsidP="001606C5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1606C5">
              <w:rPr>
                <w:b/>
                <w:color w:val="C00000"/>
                <w:sz w:val="22"/>
              </w:rPr>
              <w:t>hodnoty sociální práce</w:t>
            </w:r>
            <w:r>
              <w:t>, které se v těchto právních podkladech odrážejí (individuální přístup, důstojnost, dodržování lidských práv a svobod, respektování svobodné vůle, rovnosti a partnerství, názornost, flexibilita, přiměřená podpora, ochrana před diskriminací atd.)</w:t>
            </w:r>
          </w:p>
        </w:tc>
      </w:tr>
      <w:tr w:rsidR="00251DF2" w:rsidRPr="000315A0" w14:paraId="15BFD1DD" w14:textId="77777777" w:rsidTr="003C5E58">
        <w:tc>
          <w:tcPr>
            <w:tcW w:w="4077" w:type="dxa"/>
          </w:tcPr>
          <w:p w14:paraId="4FC70B14" w14:textId="2F36D506" w:rsidR="00251DF2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Kazuistika</w:t>
            </w:r>
          </w:p>
        </w:tc>
        <w:tc>
          <w:tcPr>
            <w:tcW w:w="10709" w:type="dxa"/>
          </w:tcPr>
          <w:p w14:paraId="2200DA34" w14:textId="3C3E6181" w:rsidR="00251DF2" w:rsidRPr="000315A0" w:rsidRDefault="001606C5" w:rsidP="00D06A7D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1606C5">
              <w:rPr>
                <w:b/>
                <w:color w:val="C00000"/>
                <w:sz w:val="22"/>
              </w:rPr>
              <w:t>kde a kdy může docházet</w:t>
            </w:r>
            <w:r>
              <w:t xml:space="preserve"> při poskytování služby/sociální práce </w:t>
            </w:r>
            <w:r w:rsidRPr="001606C5">
              <w:rPr>
                <w:b/>
                <w:color w:val="C00000"/>
                <w:sz w:val="22"/>
              </w:rPr>
              <w:t>k porušení práv klientů, konkrétní příklady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38519A3F" w:rsidR="00DC3507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Odpovědnost sociálního pracovníka</w:t>
            </w:r>
          </w:p>
        </w:tc>
        <w:tc>
          <w:tcPr>
            <w:tcW w:w="10709" w:type="dxa"/>
          </w:tcPr>
          <w:p w14:paraId="2B7A2142" w14:textId="77777777" w:rsidR="001606C5" w:rsidRPr="001606C5" w:rsidRDefault="001606C5" w:rsidP="001606C5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pokud dochází k porušování práv klienta, </w:t>
            </w:r>
            <w:r w:rsidRPr="001606C5">
              <w:rPr>
                <w:b/>
                <w:color w:val="C00000"/>
                <w:sz w:val="22"/>
              </w:rPr>
              <w:t>kdo a jak je za takovou situaci zodpovědný</w:t>
            </w:r>
            <w:r>
              <w:t xml:space="preserve"> </w:t>
            </w:r>
          </w:p>
          <w:p w14:paraId="0FB5B9CC" w14:textId="77777777" w:rsidR="001606C5" w:rsidRPr="001606C5" w:rsidRDefault="001606C5" w:rsidP="001606C5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jaká je s tím spojená možná </w:t>
            </w:r>
            <w:r w:rsidRPr="001606C5">
              <w:rPr>
                <w:b/>
                <w:color w:val="C00000"/>
                <w:sz w:val="22"/>
              </w:rPr>
              <w:t>náhrada škody</w:t>
            </w:r>
            <w:r>
              <w:t xml:space="preserve"> a kdo ji má vymáhat </w:t>
            </w:r>
          </w:p>
          <w:p w14:paraId="02DEEFA0" w14:textId="49A572F1" w:rsidR="00DC3507" w:rsidRPr="000315A0" w:rsidRDefault="001606C5" w:rsidP="001606C5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které orgány a osoby jsou oprávněny </w:t>
            </w:r>
            <w:r w:rsidRPr="001606C5">
              <w:rPr>
                <w:b/>
                <w:color w:val="C00000"/>
                <w:sz w:val="22"/>
              </w:rPr>
              <w:t>provádět kontrolu</w:t>
            </w:r>
            <w:r>
              <w:t>, situaci vyhodnocovat a vymáhat nápravu</w:t>
            </w:r>
          </w:p>
        </w:tc>
      </w:tr>
      <w:tr w:rsidR="00251DF2" w:rsidRPr="000315A0" w14:paraId="6DCA1734" w14:textId="77777777" w:rsidTr="003C5E58">
        <w:tc>
          <w:tcPr>
            <w:tcW w:w="4077" w:type="dxa"/>
          </w:tcPr>
          <w:p w14:paraId="0C6F2813" w14:textId="64B976EC" w:rsidR="00251DF2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Vnitřní pravidla</w:t>
            </w:r>
          </w:p>
        </w:tc>
        <w:tc>
          <w:tcPr>
            <w:tcW w:w="10709" w:type="dxa"/>
          </w:tcPr>
          <w:p w14:paraId="6499B481" w14:textId="77777777" w:rsidR="001606C5" w:rsidRPr="001606C5" w:rsidRDefault="001606C5" w:rsidP="001606C5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případy </w:t>
            </w:r>
            <w:r w:rsidRPr="001606C5">
              <w:rPr>
                <w:b/>
                <w:color w:val="C00000"/>
                <w:sz w:val="22"/>
              </w:rPr>
              <w:t>porušování práv klienta při stanovování vnitřních pravidel ve službě</w:t>
            </w:r>
            <w:r>
              <w:t xml:space="preserve"> </w:t>
            </w:r>
          </w:p>
          <w:p w14:paraId="1F612B62" w14:textId="77AE99BE" w:rsidR="00251DF2" w:rsidRPr="000315A0" w:rsidRDefault="001606C5" w:rsidP="001606C5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jak je to s </w:t>
            </w:r>
            <w:r w:rsidRPr="001606C5">
              <w:rPr>
                <w:b/>
                <w:color w:val="C00000"/>
                <w:sz w:val="22"/>
              </w:rPr>
              <w:t>alkoholem, kouřením, sexualitou, přestupkovým a trestním jednáním klienta</w:t>
            </w:r>
            <w:r>
              <w:t xml:space="preserve"> a jaké další podmínky můžeme v rámci sociální práce řešit, omezovat, vymáhat plnění atd.</w:t>
            </w:r>
          </w:p>
        </w:tc>
      </w:tr>
      <w:tr w:rsidR="00251DF2" w:rsidRPr="000315A0" w14:paraId="154B3F40" w14:textId="77777777" w:rsidTr="003C5E58">
        <w:tc>
          <w:tcPr>
            <w:tcW w:w="4077" w:type="dxa"/>
          </w:tcPr>
          <w:p w14:paraId="7CE92677" w14:textId="418567E0" w:rsidR="00251DF2" w:rsidRPr="001606C5" w:rsidRDefault="001606C5" w:rsidP="00DC3507">
            <w:pPr>
              <w:rPr>
                <w:b/>
              </w:rPr>
            </w:pPr>
            <w:r w:rsidRPr="001606C5">
              <w:rPr>
                <w:b/>
              </w:rPr>
              <w:t>Komunikace a konfliktní situace</w:t>
            </w:r>
          </w:p>
        </w:tc>
        <w:tc>
          <w:tcPr>
            <w:tcW w:w="10709" w:type="dxa"/>
          </w:tcPr>
          <w:p w14:paraId="177597BF" w14:textId="577CF5A9" w:rsidR="00251DF2" w:rsidRPr="000315A0" w:rsidRDefault="001606C5" w:rsidP="00D06A7D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z pohledu uživatele ve službě, klienta sociální práce, sociálního pracovníka, sociálního pracovníka v sociálních službách, opatrovníka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23"/>
  </w:num>
  <w:num w:numId="10">
    <w:abstractNumId w:val="33"/>
  </w:num>
  <w:num w:numId="11">
    <w:abstractNumId w:val="25"/>
  </w:num>
  <w:num w:numId="12">
    <w:abstractNumId w:val="28"/>
  </w:num>
  <w:num w:numId="13">
    <w:abstractNumId w:val="30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36"/>
  </w:num>
  <w:num w:numId="23">
    <w:abstractNumId w:val="34"/>
  </w:num>
  <w:num w:numId="24">
    <w:abstractNumId w:val="31"/>
  </w:num>
  <w:num w:numId="25">
    <w:abstractNumId w:val="35"/>
  </w:num>
  <w:num w:numId="26">
    <w:abstractNumId w:val="22"/>
  </w:num>
  <w:num w:numId="27">
    <w:abstractNumId w:val="8"/>
  </w:num>
  <w:num w:numId="28">
    <w:abstractNumId w:val="7"/>
  </w:num>
  <w:num w:numId="29">
    <w:abstractNumId w:val="1"/>
  </w:num>
  <w:num w:numId="30">
    <w:abstractNumId w:val="14"/>
  </w:num>
  <w:num w:numId="31">
    <w:abstractNumId w:val="20"/>
  </w:num>
  <w:num w:numId="32">
    <w:abstractNumId w:val="19"/>
  </w:num>
  <w:num w:numId="33">
    <w:abstractNumId w:val="24"/>
  </w:num>
  <w:num w:numId="34">
    <w:abstractNumId w:val="39"/>
  </w:num>
  <w:num w:numId="35">
    <w:abstractNumId w:val="0"/>
  </w:num>
  <w:num w:numId="36">
    <w:abstractNumId w:val="6"/>
  </w:num>
  <w:num w:numId="37">
    <w:abstractNumId w:val="37"/>
  </w:num>
  <w:num w:numId="38">
    <w:abstractNumId w:val="13"/>
  </w:num>
  <w:num w:numId="39">
    <w:abstractNumId w:val="2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7655"/>
    <w:rsid w:val="00153792"/>
    <w:rsid w:val="0015495C"/>
    <w:rsid w:val="00154BED"/>
    <w:rsid w:val="001602E8"/>
    <w:rsid w:val="001606C5"/>
    <w:rsid w:val="0016304B"/>
    <w:rsid w:val="00163C2F"/>
    <w:rsid w:val="0016734F"/>
    <w:rsid w:val="00170027"/>
    <w:rsid w:val="0017216A"/>
    <w:rsid w:val="00186FAC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1DF2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84113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niradce.cz/prax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cialniradce.cz/akreditace/dluhy-osob-s-dusevnim-onemocnenim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5263-AA21-4F74-89AE-7A36761E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1522</Words>
  <Characters>8980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Helenka</cp:lastModifiedBy>
  <cp:revision>10</cp:revision>
  <cp:lastPrinted>2020-11-22T16:57:00Z</cp:lastPrinted>
  <dcterms:created xsi:type="dcterms:W3CDTF">2024-04-10T12:38:00Z</dcterms:created>
  <dcterms:modified xsi:type="dcterms:W3CDTF">2024-05-10T19:47:00Z</dcterms:modified>
</cp:coreProperties>
</file>